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w:t>
      </w:r>
    </w:p>
    <w:p>
      <w:pPr>
        <w:pStyle w:val="122"/>
        <w:rPr/>
      </w:pPr>
      <w:r>
        <w:rPr/>
      </w:r>
    </w:p>
    <w:p>
      <w:pPr>
        <w:pStyle w:val="Normal"/>
        <w:ind w:left="5103" w:hanging="0"/>
        <w:jc w:val="right"/>
        <w:rPr>
          <w:rFonts w:ascii="Times New Roman" w:hAnsi="Times New Roman" w:cs="Times New Roman"/>
          <w:sz w:val="24"/>
          <w:szCs w:val="24"/>
        </w:rPr>
      </w:pPr>
      <w:r>
        <w:rPr>
          <w:rFonts w:eastAsia="Times New Roman" w:cs="Times New Roman"/>
          <w:sz w:val="24"/>
          <w:szCs w:val="24"/>
        </w:rPr>
        <w:t xml:space="preserve">Приложение №1 </w:t>
      </w:r>
    </w:p>
    <w:p>
      <w:pPr>
        <w:pStyle w:val="Normal"/>
        <w:ind w:left="5103" w:hanging="0"/>
        <w:jc w:val="right"/>
        <w:rPr>
          <w:rFonts w:ascii="Times New Roman" w:hAnsi="Times New Roman" w:cs="Times New Roman"/>
          <w:sz w:val="24"/>
          <w:szCs w:val="24"/>
        </w:rPr>
      </w:pPr>
      <w:r>
        <w:rPr>
          <w:rFonts w:eastAsia="Times New Roman" w:cs="Times New Roman"/>
          <w:sz w:val="24"/>
          <w:szCs w:val="24"/>
        </w:rPr>
        <w:t>к Техническому требованию</w:t>
      </w:r>
    </w:p>
    <w:p>
      <w:pPr>
        <w:pStyle w:val="Normal"/>
        <w:ind w:left="5103" w:hanging="0"/>
        <w:jc w:val="right"/>
        <w:rPr>
          <w:rFonts w:ascii="Times New Roman" w:hAnsi="Times New Roman" w:cs="Times New Roman"/>
          <w:sz w:val="24"/>
          <w:szCs w:val="24"/>
        </w:rPr>
      </w:pPr>
      <w:r>
        <w:rPr>
          <w:rFonts w:cs="Times New Roman"/>
          <w:sz w:val="24"/>
          <w:szCs w:val="24"/>
        </w:rPr>
      </w:r>
    </w:p>
    <w:p>
      <w:pPr>
        <w:pStyle w:val="Normal"/>
        <w:ind w:left="5103" w:hanging="0"/>
        <w:jc w:val="right"/>
        <w:rPr>
          <w:rFonts w:ascii="Times New Roman" w:hAnsi="Times New Roman" w:cs="Times New Roman"/>
          <w:sz w:val="24"/>
          <w:szCs w:val="24"/>
        </w:rPr>
      </w:pPr>
      <w:r>
        <w:rPr>
          <w:rFonts w:cs="Times New Roman"/>
          <w:sz w:val="24"/>
          <w:szCs w:val="24"/>
        </w:rPr>
      </w:r>
    </w:p>
    <w:p>
      <w:pPr>
        <w:pStyle w:val="Normal"/>
        <w:ind w:left="5103" w:hanging="0"/>
        <w:jc w:val="right"/>
        <w:rPr>
          <w:rFonts w:ascii="Times New Roman" w:hAnsi="Times New Roman" w:cs="Times New Roman"/>
          <w:sz w:val="24"/>
          <w:szCs w:val="24"/>
        </w:rPr>
      </w:pPr>
      <w:r>
        <w:rPr>
          <w:rFonts w:cs="Times New Roman"/>
          <w:sz w:val="24"/>
          <w:szCs w:val="24"/>
        </w:rPr>
      </w:r>
    </w:p>
    <w:p>
      <w:pPr>
        <w:pStyle w:val="Normal"/>
        <w:ind w:left="5103" w:hanging="0"/>
        <w:jc w:val="right"/>
        <w:rPr>
          <w:rFonts w:ascii="Times New Roman" w:hAnsi="Times New Roman" w:cs="Times New Roman"/>
          <w:sz w:val="24"/>
          <w:szCs w:val="24"/>
        </w:rPr>
      </w:pPr>
      <w:r>
        <w:rPr>
          <w:rFonts w:cs="Times New Roman"/>
          <w:sz w:val="24"/>
          <w:szCs w:val="24"/>
        </w:rPr>
      </w:r>
    </w:p>
    <w:p>
      <w:pPr>
        <w:pStyle w:val="Normal"/>
        <w:ind w:left="5103" w:hanging="0"/>
        <w:jc w:val="right"/>
        <w:rPr>
          <w:rFonts w:ascii="Times New Roman" w:hAnsi="Times New Roman" w:cs="Times New Roman"/>
          <w:sz w:val="24"/>
          <w:szCs w:val="24"/>
        </w:rPr>
      </w:pPr>
      <w:r>
        <w:rPr>
          <w:rFonts w:cs="Times New Roman"/>
          <w:sz w:val="24"/>
          <w:szCs w:val="24"/>
        </w:rPr>
      </w:r>
    </w:p>
    <w:p>
      <w:pPr>
        <w:pStyle w:val="Normal"/>
        <w:ind w:left="5103" w:hanging="0"/>
        <w:jc w:val="right"/>
        <w:rPr>
          <w:rFonts w:ascii="Times New Roman" w:hAnsi="Times New Roman" w:cs="Times New Roman"/>
          <w:sz w:val="24"/>
          <w:szCs w:val="24"/>
        </w:rPr>
      </w:pPr>
      <w:r>
        <w:rPr>
          <w:rFonts w:cs="Times New Roman"/>
          <w:sz w:val="24"/>
          <w:szCs w:val="24"/>
        </w:rPr>
      </w:r>
    </w:p>
    <w:p>
      <w:pPr>
        <w:pStyle w:val="Normal"/>
        <w:ind w:left="5103" w:hanging="0"/>
        <w:jc w:val="right"/>
        <w:rPr>
          <w:rFonts w:ascii="Times New Roman" w:hAnsi="Times New Roman" w:cs="Times New Roman"/>
          <w:sz w:val="24"/>
          <w:szCs w:val="24"/>
        </w:rPr>
      </w:pPr>
      <w:r>
        <w:rPr>
          <w:rFonts w:cs="Times New Roman"/>
          <w:sz w:val="24"/>
          <w:szCs w:val="24"/>
        </w:rPr>
      </w:r>
    </w:p>
    <w:p>
      <w:pPr>
        <w:pStyle w:val="Normal"/>
        <w:ind w:left="5103" w:hanging="0"/>
        <w:jc w:val="right"/>
        <w:rPr>
          <w:rFonts w:ascii="Times New Roman" w:hAnsi="Times New Roman" w:cs="Times New Roman"/>
          <w:sz w:val="24"/>
          <w:szCs w:val="24"/>
        </w:rPr>
      </w:pPr>
      <w:r>
        <w:rPr>
          <w:rFonts w:cs="Times New Roman"/>
          <w:sz w:val="24"/>
          <w:szCs w:val="24"/>
        </w:rPr>
      </w:r>
    </w:p>
    <w:p>
      <w:pPr>
        <w:pStyle w:val="Style20"/>
        <w:rPr>
          <w:sz w:val="28"/>
          <w:szCs w:val="28"/>
        </w:rPr>
      </w:pPr>
      <w:r>
        <w:rPr>
          <w:b/>
          <w:bCs/>
          <w:sz w:val="28"/>
          <w:szCs w:val="28"/>
        </w:rPr>
        <w:t>Техническое задание</w:t>
      </w:r>
    </w:p>
    <w:p>
      <w:pPr>
        <w:pStyle w:val="Normal"/>
        <w:jc w:val="center"/>
        <w:rPr>
          <w:sz w:val="28"/>
          <w:szCs w:val="28"/>
        </w:rPr>
      </w:pPr>
      <w:r>
        <w:rPr>
          <w:b/>
          <w:bCs/>
          <w:sz w:val="28"/>
          <w:szCs w:val="28"/>
        </w:rPr>
        <w:t xml:space="preserve">на ОКПД2 25.21.12 поставку основного оборудования (котлы) </w:t>
      </w:r>
    </w:p>
    <w:p>
      <w:pPr>
        <w:pStyle w:val="Normal"/>
        <w:jc w:val="center"/>
        <w:rPr>
          <w:sz w:val="28"/>
          <w:szCs w:val="28"/>
        </w:rPr>
      </w:pPr>
      <w:r>
        <w:rPr>
          <w:b/>
          <w:bCs/>
          <w:sz w:val="28"/>
          <w:szCs w:val="28"/>
        </w:rPr>
        <w:t>для СП «Амурские тепловые сети» г. Благовещенск</w:t>
      </w:r>
    </w:p>
    <w:p>
      <w:pPr>
        <w:pStyle w:val="Normal"/>
        <w:ind w:left="5103" w:hanging="0"/>
        <w:jc w:val="right"/>
        <w:rPr>
          <w:rFonts w:ascii="Times New Roman" w:hAnsi="Times New Roman" w:cs="Times New Roman"/>
          <w:sz w:val="28"/>
          <w:szCs w:val="28"/>
        </w:rPr>
      </w:pPr>
      <w:r>
        <w:rPr>
          <w:rFonts w:cs="Times New Roman"/>
          <w:sz w:val="28"/>
          <w:szCs w:val="28"/>
        </w:rPr>
      </w:r>
    </w:p>
    <w:p>
      <w:pPr>
        <w:pStyle w:val="Style20"/>
        <w:jc w:val="left"/>
        <w:rPr>
          <w:b/>
          <w:sz w:val="28"/>
          <w:szCs w:val="28"/>
        </w:rPr>
      </w:pPr>
      <w:r>
        <w:rPr>
          <w:b/>
          <w:sz w:val="28"/>
          <w:szCs w:val="28"/>
        </w:rPr>
      </w:r>
    </w:p>
    <w:p>
      <w:pPr>
        <w:pStyle w:val="Style20"/>
        <w:jc w:val="right"/>
        <w:rPr>
          <w:b/>
          <w:bCs/>
        </w:rPr>
      </w:pPr>
      <w:r>
        <w:rPr>
          <w:b/>
          <w:bCs/>
        </w:rPr>
      </w:r>
    </w:p>
    <w:p>
      <w:pPr>
        <w:pStyle w:val="122"/>
        <w:rPr/>
      </w:pPr>
      <w:r>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Style20"/>
        <w:jc w:val="right"/>
        <w:rPr>
          <w:b/>
          <w:bCs/>
        </w:rPr>
      </w:pPr>
      <w:r>
        <w:rPr>
          <w:b/>
          <w:bCs/>
        </w:rPr>
      </w:r>
    </w:p>
    <w:p>
      <w:pPr>
        <w:pStyle w:val="TOC1"/>
        <w:tabs>
          <w:tab w:val="left" w:pos="1134" w:leader="none"/>
          <w:tab w:val="left" w:pos="1300" w:leader="none"/>
          <w:tab w:val="right" w:pos="9356" w:leader="none"/>
        </w:tabs>
        <w:rPr/>
      </w:pPr>
      <w:r>
        <w:fldChar w:fldCharType="begin"/>
      </w:r>
      <w:r>
        <w:rPr/>
      </w:r>
      <w:r>
        <w:rPr/>
      </w:r>
      <w:r>
        <w:fldChar w:fldCharType="begin"/>
      </w:r>
      <w:r>
        <w:rPr/>
      </w:r>
      <w:r>
        <w:rPr/>
      </w:r>
      <w:r>
        <w:rPr/>
        <w:fldChar w:fldCharType="separate"/>
      </w:r>
      <w:r>
        <w:rPr/>
      </w:r>
      <w:r>
        <w:rPr/>
      </w:r>
      <w:r>
        <w:rPr/>
        <w:fldChar w:fldCharType="end"/>
      </w:r>
      <w:r>
        <w:fldChar w:fldCharType="begin"/>
      </w:r>
      <w:r>
        <w:rPr/>
      </w:r>
      <w:r>
        <w:rPr/>
      </w:r>
      <w:r>
        <w:rPr/>
        <w:fldChar w:fldCharType="separate"/>
      </w:r>
      <w:r>
        <w:rPr/>
      </w:r>
      <w:r>
        <w:rPr/>
      </w:r>
      <w:r>
        <w:rPr/>
        <w:fldChar w:fldCharType="end"/>
      </w:r>
      <w:r>
        <w:fldChar w:fldCharType="begin"/>
      </w:r>
      <w:r>
        <w:rPr/>
      </w:r>
      <w:r>
        <w:rPr/>
      </w:r>
      <w:r>
        <w:rPr/>
        <w:fldChar w:fldCharType="separate"/>
      </w:r>
      <w:r>
        <w:rPr/>
      </w:r>
      <w:r>
        <w:rPr/>
      </w:r>
      <w:r>
        <w:rPr/>
        <w:fldChar w:fldCharType="end"/>
      </w:r>
      <w:r>
        <w:rPr/>
        <w:fldChar w:fldCharType="begin"/>
      </w:r>
      <w:r>
        <w:rPr/>
        <w:instrText xml:space="preserve"> PAGEREF _Toc2 \h </w:instrText>
      </w:r>
      <w:r>
        <w:rPr/>
        <w:fldChar w:fldCharType="separate"/>
      </w:r>
      <w:r>
        <w:rPr/>
        <w:t>4</w:t>
      </w:r>
      <w:r>
        <w:rPr/>
        <w:fldChar w:fldCharType="end"/>
      </w:r>
      <w:r>
        <w:rPr/>
        <w:fldChar w:fldCharType="separate"/>
      </w:r>
      <w:r>
        <w:rPr/>
      </w:r>
      <w:r/>
      <w:r>
        <w:rPr/>
        <w:fldChar w:fldCharType="end"/>
      </w:r>
      <w:r>
        <w:rPr/>
      </w:r>
    </w:p>
    <w:p>
      <w:pPr>
        <w:pStyle w:val="TOC1"/>
        <w:tabs>
          <w:tab w:val="clear" w:pos="9356"/>
          <w:tab w:val="left" w:pos="1134" w:leader="none"/>
          <w:tab w:val="left" w:pos="1300" w:leader="none"/>
          <w:tab w:val="right" w:pos="9188" w:leader="none"/>
        </w:tabs>
        <w:rPr/>
      </w:pPr>
      <w:r>
        <w:rPr>
          <w:rStyle w:val="Hyperlink"/>
          <w:rFonts w:eastAsia="Times New Roman" w:cs="Times New Roman"/>
          <w:vanish w:val="false"/>
          <w:color w:val="000000"/>
          <w:sz w:val="24"/>
          <w:szCs w:val="24"/>
          <w:u w:val="none"/>
        </w:rPr>
        <w:t>1.  Общее.                                                                                                                           3</w:t>
      </w:r>
    </w:p>
    <w:p>
      <w:pPr>
        <w:pStyle w:val="Normal"/>
        <w:tabs>
          <w:tab w:val="clear" w:pos="720"/>
          <w:tab w:val="left" w:pos="1134" w:leader="none"/>
          <w:tab w:val="left" w:pos="1300" w:leader="none"/>
          <w:tab w:val="right" w:pos="9356" w:leader="none"/>
        </w:tabs>
        <w:jc w:val="left"/>
        <w:rPr/>
      </w:pPr>
      <w:r>
        <w:rPr>
          <w:rStyle w:val="Hyperlink"/>
          <w:rFonts w:eastAsia="Times New Roman" w:cs="Times New Roman"/>
          <w:vanish w:val="false"/>
          <w:color w:val="000000"/>
          <w:sz w:val="24"/>
          <w:szCs w:val="24"/>
          <w:u w:val="none"/>
        </w:rPr>
        <w:t xml:space="preserve">            </w:t>
      </w:r>
      <w:r>
        <w:rPr>
          <w:rStyle w:val="Hyperlink"/>
          <w:rFonts w:eastAsia="Times New Roman" w:cs="Times New Roman"/>
          <w:vanish w:val="false"/>
          <w:color w:val="000000"/>
          <w:sz w:val="24"/>
          <w:szCs w:val="24"/>
          <w:u w:val="none"/>
        </w:rPr>
        <w:t>2.  Общие и специальные технические требования.                                                      4</w:t>
      </w:r>
    </w:p>
    <w:p>
      <w:pPr>
        <w:pStyle w:val="TOC1"/>
        <w:tabs>
          <w:tab w:val="left" w:pos="1134" w:leader="none"/>
          <w:tab w:val="left" w:pos="1300" w:leader="none"/>
          <w:tab w:val="right" w:pos="9356" w:leader="none"/>
        </w:tabs>
        <w:rPr/>
      </w:pPr>
      <w:hyperlink w:anchor="_Toc3" w:tgtFrame="#_Toc3">
        <w:r>
          <w:rPr>
            <w:rStyle w:val="Style14"/>
            <w:rFonts w:eastAsia="Times New Roman" w:cs="Times New Roman"/>
            <w:vanish w:val="false"/>
            <w:sz w:val="24"/>
            <w:szCs w:val="24"/>
          </w:rPr>
          <w:t xml:space="preserve">3.  </w:t>
        </w:r>
        <w:r>
          <w:rPr>
            <w:rStyle w:val="Style14"/>
            <w:sz w:val="24"/>
            <w:szCs w:val="24"/>
          </w:rPr>
          <w:t xml:space="preserve">Объем работ </w:t>
        </w:r>
      </w:hyperlink>
      <w:r>
        <w:rPr>
          <w:sz w:val="24"/>
          <w:szCs w:val="24"/>
        </w:rPr>
        <w:t xml:space="preserve">                                                                                                                 6</w:t>
      </w:r>
    </w:p>
    <w:p>
      <w:pPr>
        <w:pStyle w:val="TOC1"/>
        <w:tabs>
          <w:tab w:val="left" w:pos="1134" w:leader="none"/>
          <w:tab w:val="left" w:pos="1300" w:leader="none"/>
          <w:tab w:val="right" w:pos="9356" w:leader="none"/>
        </w:tabs>
        <w:rPr/>
      </w:pPr>
      <w:hyperlink w:anchor="_Toc4" w:tgtFrame="#_Toc4">
        <w:r>
          <w:rPr>
            <w:rStyle w:val="Style14"/>
            <w:rFonts w:eastAsia="Times New Roman" w:cs="Times New Roman"/>
            <w:vanish w:val="false"/>
            <w:sz w:val="24"/>
            <w:szCs w:val="24"/>
          </w:rPr>
          <w:t xml:space="preserve">4.  </w:t>
        </w:r>
        <w:r>
          <w:rPr>
            <w:rStyle w:val="Style14"/>
            <w:sz w:val="24"/>
            <w:szCs w:val="24"/>
          </w:rPr>
          <w:t>Запасные части, инструменты, расходные материалы</w:t>
        </w:r>
      </w:hyperlink>
      <w:r>
        <w:rPr>
          <w:sz w:val="24"/>
          <w:szCs w:val="24"/>
        </w:rPr>
        <w:t xml:space="preserve">                                             8</w:t>
      </w:r>
    </w:p>
    <w:p>
      <w:pPr>
        <w:pStyle w:val="TOC1"/>
        <w:tabs>
          <w:tab w:val="left" w:pos="1134" w:leader="none"/>
          <w:tab w:val="left" w:pos="1300" w:leader="none"/>
          <w:tab w:val="right" w:pos="9356" w:leader="none"/>
        </w:tabs>
        <w:rPr/>
      </w:pPr>
      <w:hyperlink w:anchor="_Toc5" w:tgtFrame="#_Toc5">
        <w:r>
          <w:rPr>
            <w:rStyle w:val="Style14"/>
            <w:rFonts w:eastAsia="Times New Roman" w:cs="Times New Roman"/>
            <w:vanish w:val="false"/>
            <w:sz w:val="24"/>
            <w:szCs w:val="24"/>
          </w:rPr>
          <w:t xml:space="preserve">5.  </w:t>
        </w:r>
        <w:r>
          <w:rPr>
            <w:rStyle w:val="Style14"/>
            <w:sz w:val="24"/>
            <w:szCs w:val="24"/>
          </w:rPr>
          <w:t>Требования к технической документации</w:t>
        </w:r>
      </w:hyperlink>
      <w:r>
        <w:rPr>
          <w:sz w:val="24"/>
          <w:szCs w:val="24"/>
        </w:rPr>
        <w:t xml:space="preserve">                                                                 9</w:t>
      </w:r>
    </w:p>
    <w:p>
      <w:pPr>
        <w:pStyle w:val="TOC1"/>
        <w:tabs>
          <w:tab w:val="left" w:pos="1134" w:leader="none"/>
          <w:tab w:val="left" w:pos="1300" w:leader="none"/>
          <w:tab w:val="right" w:pos="9356" w:leader="none"/>
        </w:tabs>
        <w:rPr/>
      </w:pPr>
      <w:r>
        <w:rPr>
          <w:rFonts w:eastAsia="Times New Roman" w:cs="Times New Roman"/>
          <w:vanish w:val="false"/>
          <w:sz w:val="24"/>
          <w:szCs w:val="24"/>
        </w:rPr>
        <w:t xml:space="preserve">6.  </w:t>
      </w:r>
      <w:hyperlink w:anchor="_Toc7" w:tgtFrame="#_Toc7">
        <w:r>
          <w:rPr>
            <w:rStyle w:val="Style14"/>
            <w:vanish w:val="false"/>
            <w:sz w:val="24"/>
            <w:szCs w:val="24"/>
          </w:rPr>
          <w:t>Технические требования к конструкции, изготовлению и материалам</w:t>
          <w:tab/>
        </w:r>
      </w:hyperlink>
      <w:r>
        <w:rPr>
          <w:sz w:val="24"/>
          <w:szCs w:val="24"/>
        </w:rPr>
        <w:t>10</w:t>
      </w:r>
    </w:p>
    <w:p>
      <w:pPr>
        <w:pStyle w:val="TOC1"/>
        <w:tabs>
          <w:tab w:val="left" w:pos="1134" w:leader="none"/>
          <w:tab w:val="left" w:pos="1300" w:leader="none"/>
          <w:tab w:val="right" w:pos="9356" w:leader="none"/>
        </w:tabs>
        <w:rPr/>
      </w:pPr>
      <w:r>
        <w:rPr>
          <w:rFonts w:eastAsia="Times New Roman" w:cs="Times New Roman"/>
          <w:vanish w:val="false"/>
          <w:sz w:val="24"/>
          <w:szCs w:val="24"/>
        </w:rPr>
        <w:t xml:space="preserve">7.   </w:t>
      </w:r>
      <w:hyperlink w:anchor="_Toc9" w:tgtFrame="#_Toc9">
        <w:r>
          <w:rPr>
            <w:rStyle w:val="Style14"/>
            <w:vanish w:val="false"/>
            <w:sz w:val="24"/>
            <w:szCs w:val="24"/>
          </w:rPr>
          <w:t>График поставки</w:t>
          <w:tab/>
        </w:r>
      </w:hyperlink>
      <w:r>
        <w:rPr>
          <w:sz w:val="24"/>
          <w:szCs w:val="24"/>
        </w:rPr>
        <w:t>21</w:t>
      </w:r>
    </w:p>
    <w:p>
      <w:pPr>
        <w:pStyle w:val="TOC1"/>
        <w:tabs>
          <w:tab w:val="left" w:pos="1300" w:leader="none"/>
          <w:tab w:val="left" w:pos="1417" w:leader="none"/>
          <w:tab w:val="right" w:pos="9356" w:leader="none"/>
        </w:tabs>
        <w:rPr/>
      </w:pPr>
      <w:r>
        <w:rPr>
          <w:rFonts w:eastAsia="Times New Roman" w:cs="Times New Roman"/>
          <w:vanish w:val="false"/>
          <w:sz w:val="24"/>
          <w:szCs w:val="24"/>
        </w:rPr>
        <w:t xml:space="preserve">8.   </w:t>
      </w:r>
      <w:hyperlink w:anchor="_Toc13" w:tgtFrame="#_Toc13">
        <w:r>
          <w:rPr>
            <w:rStyle w:val="Style14"/>
            <w:vanish w:val="false"/>
            <w:sz w:val="24"/>
            <w:szCs w:val="24"/>
          </w:rPr>
          <w:t>Гарантии изготовителя</w:t>
          <w:tab/>
        </w:r>
      </w:hyperlink>
      <w:r>
        <w:rPr>
          <w:sz w:val="24"/>
          <w:szCs w:val="24"/>
        </w:rPr>
        <w:t>22</w:t>
      </w:r>
    </w:p>
    <w:p>
      <w:pPr>
        <w:pStyle w:val="TOC1"/>
        <w:tabs>
          <w:tab w:val="left" w:pos="1300" w:leader="none"/>
          <w:tab w:val="left" w:pos="1417" w:leader="none"/>
          <w:tab w:val="right" w:pos="9356" w:leader="none"/>
        </w:tabs>
        <w:rPr/>
      </w:pPr>
      <w:r>
        <w:rPr>
          <w:rFonts w:eastAsia="Times New Roman" w:cs="Times New Roman"/>
          <w:vanish w:val="false"/>
          <w:sz w:val="24"/>
          <w:szCs w:val="24"/>
        </w:rPr>
        <w:t>9.</w:t>
      </w:r>
      <w:r>
        <w:rPr>
          <w:rStyle w:val="Style14"/>
          <w:rFonts w:eastAsia="Times New Roman" w:cs="Times New Roman"/>
          <w:vanish w:val="false"/>
          <w:sz w:val="24"/>
          <w:szCs w:val="24"/>
        </w:rPr>
        <w:t xml:space="preserve">  </w:t>
      </w:r>
      <w:hyperlink w:anchor="_Toc14" w:tgtFrame="#_Toc14">
        <w:r>
          <w:rPr>
            <w:rStyle w:val="Style14"/>
            <w:rFonts w:eastAsia="Times New Roman" w:cs="Times New Roman"/>
            <w:sz w:val="24"/>
            <w:szCs w:val="24"/>
          </w:rPr>
          <w:t>Ценообразующие факторы</w:t>
        </w:r>
        <w:r>
          <w:rPr>
            <w:rStyle w:val="Style14"/>
            <w:sz w:val="24"/>
            <w:szCs w:val="24"/>
          </w:rPr>
          <w:tab/>
        </w:r>
      </w:hyperlink>
      <w:r>
        <w:rPr>
          <w:rFonts w:cs="Times New Roman"/>
          <w:sz w:val="24"/>
          <w:szCs w:val="24"/>
        </w:rPr>
        <w:t>23</w:t>
      </w:r>
    </w:p>
    <w:p>
      <w:pPr>
        <w:pStyle w:val="TOC1"/>
        <w:tabs>
          <w:tab w:val="left" w:pos="1300" w:leader="none"/>
          <w:tab w:val="left" w:pos="1417" w:leader="none"/>
          <w:tab w:val="right" w:pos="9356" w:leader="none"/>
        </w:tabs>
        <w:rPr/>
      </w:pPr>
      <w:hyperlink w:anchor="_Toc15" w:tgtFrame="#_Toc15">
        <w:r>
          <w:rPr>
            <w:rStyle w:val="Style14"/>
            <w:rFonts w:eastAsia="Times New Roman" w:cs="Times New Roman"/>
            <w:vanish w:val="false"/>
            <w:sz w:val="24"/>
            <w:szCs w:val="24"/>
          </w:rPr>
          <w:t xml:space="preserve">10.  </w:t>
        </w:r>
        <w:r>
          <w:rPr>
            <w:rStyle w:val="Style14"/>
            <w:sz w:val="24"/>
            <w:szCs w:val="24"/>
          </w:rPr>
          <w:t>Перечень предоставляемой поставщиком документации</w:t>
          <w:tab/>
        </w:r>
      </w:hyperlink>
      <w:r>
        <w:rPr>
          <w:sz w:val="24"/>
          <w:szCs w:val="24"/>
        </w:rPr>
        <w:t>24</w:t>
      </w:r>
    </w:p>
    <w:p>
      <w:pPr>
        <w:pStyle w:val="Normal"/>
        <w:rPr>
          <w:color w:val="000000" w:themeColor="text1"/>
          <w:sz w:val="24"/>
          <w:szCs w:val="24"/>
        </w:rPr>
      </w:pPr>
      <w:r>
        <w:rPr>
          <w:color w:val="000000" w:themeColor="text1"/>
          <w:sz w:val="24"/>
          <w:szCs w:val="24"/>
        </w:rPr>
      </w:r>
    </w:p>
    <w:p>
      <w:pPr>
        <w:pStyle w:val="Normal"/>
        <w:rPr>
          <w:rFonts w:ascii="Times New Roman" w:hAnsi="Times New Roman" w:cs="Times New Roman"/>
          <w:color w:val="auto"/>
          <w:sz w:val="24"/>
          <w:szCs w:val="24"/>
        </w:rPr>
      </w:pPr>
      <w:r>
        <w:rPr>
          <w:rFonts w:cs="Times New Roman"/>
          <w:color w:val="auto"/>
          <w:sz w:val="24"/>
          <w:szCs w:val="24"/>
        </w:rPr>
      </w:r>
    </w:p>
    <w:p>
      <w:pPr>
        <w:pStyle w:val="Normal"/>
        <w:rPr>
          <w:color w:val="000000" w:themeColor="text1"/>
        </w:rPr>
      </w:pPr>
      <w:r>
        <w:rPr>
          <w:color w:val="000000" w:themeColor="text1"/>
        </w:rPr>
      </w:r>
    </w:p>
    <w:p>
      <w:pPr>
        <w:pStyle w:val="Normal"/>
        <w:rPr>
          <w:rFonts w:ascii="Times New Roman" w:hAnsi="Times New Roman" w:cs="Times New Roman"/>
          <w:color w:val="auto"/>
          <w:sz w:val="24"/>
          <w:szCs w:val="24"/>
        </w:rPr>
      </w:pPr>
      <w:r>
        <w:rPr>
          <w:rFonts w:cs="Times New Roman"/>
          <w:color w:val="auto"/>
          <w:sz w:val="24"/>
          <w:szCs w:val="24"/>
        </w:rPr>
      </w:r>
    </w:p>
    <w:p>
      <w:pPr>
        <w:pStyle w:val="Heading1"/>
        <w:keepLines w:val="false"/>
        <w:numPr>
          <w:ilvl w:val="0"/>
          <w:numId w:val="2"/>
        </w:numPr>
        <w:spacing w:before="120" w:after="120"/>
        <w:ind w:left="448" w:hanging="448"/>
        <w:jc w:val="left"/>
        <w:rPr>
          <w:sz w:val="24"/>
          <w:szCs w:val="24"/>
        </w:rPr>
      </w:pPr>
      <w:bookmarkStart w:id="0" w:name="_Toc1"/>
      <w:r>
        <w:rPr>
          <w:sz w:val="24"/>
          <w:szCs w:val="24"/>
        </w:rPr>
        <w:t>Общее</w:t>
      </w:r>
      <w:bookmarkEnd w:id="0"/>
    </w:p>
    <w:p>
      <w:pPr>
        <w:pStyle w:val="Normal"/>
        <w:ind w:firstLine="456"/>
        <w:jc w:val="both"/>
        <w:rPr>
          <w:sz w:val="24"/>
          <w:szCs w:val="24"/>
        </w:rPr>
      </w:pPr>
      <w:r>
        <w:rPr>
          <w:sz w:val="24"/>
          <w:szCs w:val="24"/>
        </w:rPr>
        <w:t>На основании Концессионного соглашения</w:t>
      </w:r>
      <w:r>
        <w:rPr>
          <w:sz w:val="24"/>
          <w:szCs w:val="24"/>
          <w:highlight w:val="white"/>
        </w:rPr>
        <w:t xml:space="preserve"> </w:t>
      </w:r>
      <w:r>
        <w:rPr>
          <w:rFonts w:cs="Times New Roman"/>
          <w:sz w:val="24"/>
          <w:szCs w:val="24"/>
          <w:highlight w:val="white"/>
        </w:rPr>
        <w:t>№ 15/1 АТС-26 от 16.02.2026 г.</w:t>
      </w:r>
      <w:r>
        <w:rPr>
          <w:sz w:val="24"/>
          <w:szCs w:val="24"/>
          <w:highlight w:val="white"/>
        </w:rPr>
        <w:t xml:space="preserve"> Концендент передает </w:t>
      </w:r>
      <w:r>
        <w:rPr>
          <w:bCs/>
          <w:sz w:val="24"/>
          <w:szCs w:val="24"/>
          <w:highlight w:val="white"/>
        </w:rPr>
        <w:t xml:space="preserve">утвержденную установленным порядком </w:t>
      </w:r>
      <w:r>
        <w:rPr>
          <w:sz w:val="24"/>
          <w:szCs w:val="24"/>
          <w:highlight w:val="white"/>
        </w:rPr>
        <w:t xml:space="preserve">разработанную по его Договорам с </w:t>
      </w:r>
      <w:r>
        <w:rPr>
          <w:b w:val="false"/>
          <w:i w:val="false"/>
          <w:strike w:val="false"/>
          <w:dstrike w:val="false"/>
          <w:sz w:val="24"/>
          <w:szCs w:val="24"/>
          <w:highlight w:val="white"/>
          <w:u w:val="none"/>
        </w:rPr>
        <w:t>О</w:t>
      </w:r>
      <w:r>
        <w:rPr>
          <w:b w:val="false"/>
          <w:i w:val="false"/>
          <w:strike w:val="false"/>
          <w:dstrike w:val="false"/>
          <w:sz w:val="24"/>
          <w:szCs w:val="24"/>
          <w:u w:val="none"/>
        </w:rPr>
        <w:t>ОО «Модульные котельные системы»</w:t>
      </w:r>
      <w:r>
        <w:rPr>
          <w:sz w:val="24"/>
          <w:szCs w:val="24"/>
          <w:highlight w:val="white"/>
        </w:rPr>
        <w:t xml:space="preserve"> Проектную документацию</w:t>
      </w:r>
      <w:r>
        <w:rPr>
          <w:sz w:val="24"/>
          <w:szCs w:val="24"/>
        </w:rPr>
        <w:t xml:space="preserve"> по строительству объекта </w:t>
      </w:r>
      <w:r>
        <w:rPr>
          <w:bCs/>
          <w:sz w:val="24"/>
          <w:szCs w:val="24"/>
        </w:rPr>
        <w:t>«Газовая котельная 101 квартал и с</w:t>
      </w:r>
      <w:r>
        <w:rPr>
          <w:sz w:val="24"/>
          <w:szCs w:val="24"/>
        </w:rPr>
        <w:t xml:space="preserve"> ООО «ИТ-Синтез»</w:t>
      </w:r>
      <w:r>
        <w:rPr>
          <w:sz w:val="24"/>
          <w:szCs w:val="24"/>
          <w:highlight w:val="white"/>
        </w:rPr>
        <w:t xml:space="preserve"> Проектную документацию</w:t>
      </w:r>
      <w:r>
        <w:rPr>
          <w:sz w:val="24"/>
          <w:szCs w:val="24"/>
        </w:rPr>
        <w:t xml:space="preserve"> по строительству объектов </w:t>
      </w:r>
      <w:r>
        <w:rPr>
          <w:bCs/>
          <w:sz w:val="24"/>
          <w:szCs w:val="24"/>
        </w:rPr>
        <w:t>«Газовая котельная 607 квартал и 252 квартал»   Концессионеру, а Концессионер обязан создать объекты теплоснабжения в полном соответствии переданной проектной документации.</w:t>
      </w:r>
    </w:p>
    <w:p>
      <w:pPr>
        <w:pStyle w:val="Normal"/>
        <w:ind w:firstLine="456"/>
        <w:jc w:val="both"/>
        <w:rPr>
          <w:sz w:val="24"/>
          <w:szCs w:val="24"/>
        </w:rPr>
      </w:pPr>
      <w:r>
        <w:rPr>
          <w:sz w:val="24"/>
          <w:szCs w:val="24"/>
        </w:rPr>
        <w:t>Назначение  газовых котельных - выработка тепловой энергии для обеспечения потребностей жилищно-коммунального хозяйства и предприятий г. Благовещенск.</w:t>
      </w:r>
    </w:p>
    <w:p>
      <w:pPr>
        <w:pStyle w:val="Normal"/>
        <w:ind w:firstLine="456"/>
        <w:jc w:val="both"/>
        <w:rPr>
          <w:sz w:val="24"/>
          <w:szCs w:val="24"/>
        </w:rPr>
      </w:pPr>
      <w:r>
        <w:rPr>
          <w:sz w:val="24"/>
          <w:szCs w:val="24"/>
        </w:rPr>
        <w:t>Основным топливом для газовых котельных  является природный газ, резервным - дизельное то</w:t>
      </w:r>
      <w:r>
        <w:rPr>
          <w:color w:val="000000" w:themeColor="text1"/>
          <w:sz w:val="24"/>
          <w:szCs w:val="24"/>
        </w:rPr>
        <w:t>пливо.</w:t>
      </w:r>
    </w:p>
    <w:p>
      <w:pPr>
        <w:pStyle w:val="Normal"/>
        <w:ind w:firstLine="426"/>
        <w:rPr>
          <w:sz w:val="24"/>
          <w:szCs w:val="24"/>
        </w:rPr>
      </w:pPr>
      <w:r>
        <w:rPr>
          <w:color w:val="000000" w:themeColor="text1"/>
          <w:sz w:val="24"/>
          <w:szCs w:val="24"/>
        </w:rPr>
        <w:t>Настоящие Техническое задание разработано для выбора Поставщика котельного оборудования.</w:t>
      </w:r>
    </w:p>
    <w:p>
      <w:pPr>
        <w:pStyle w:val="Normal"/>
        <w:rPr>
          <w:b/>
          <w:caps/>
          <w:sz w:val="28"/>
          <w:szCs w:val="28"/>
        </w:rPr>
      </w:pPr>
      <w:r>
        <w:rPr>
          <w:b/>
          <w:caps/>
          <w:sz w:val="28"/>
          <w:szCs w:val="28"/>
        </w:rPr>
      </w:r>
      <w:r>
        <w:br w:type="page"/>
      </w:r>
    </w:p>
    <w:p>
      <w:pPr>
        <w:pStyle w:val="Heading1"/>
        <w:keepLines w:val="false"/>
        <w:numPr>
          <w:ilvl w:val="0"/>
          <w:numId w:val="2"/>
        </w:numPr>
        <w:spacing w:before="360" w:after="360"/>
        <w:ind w:left="448" w:hanging="448"/>
        <w:jc w:val="left"/>
        <w:rPr>
          <w:sz w:val="24"/>
          <w:szCs w:val="24"/>
        </w:rPr>
      </w:pPr>
      <w:bookmarkStart w:id="1" w:name="_Toc2"/>
      <w:r>
        <w:rPr>
          <w:sz w:val="24"/>
          <w:szCs w:val="24"/>
        </w:rPr>
        <w:t>Общие и специальные технические требования</w:t>
      </w:r>
      <w:bookmarkEnd w:id="1"/>
    </w:p>
    <w:p>
      <w:pPr>
        <w:pStyle w:val="Normal"/>
        <w:shd w:val="clear" w:color="auto" w:fill="FFFFFF" w:themeFill="background1"/>
        <w:spacing w:before="0" w:after="120"/>
        <w:ind w:firstLine="567"/>
        <w:jc w:val="both"/>
        <w:rPr>
          <w:sz w:val="24"/>
          <w:szCs w:val="24"/>
        </w:rPr>
      </w:pPr>
      <w:r>
        <w:rPr>
          <w:rFonts w:eastAsia="Times New Roman" w:cs="Times New Roman"/>
          <w:sz w:val="24"/>
          <w:szCs w:val="24"/>
          <w:lang w:val="ru-RU"/>
        </w:rPr>
        <w:t>1.1. При проектировании, изготовлении и поставке водогрейных котлов и необходимого вспомогательного оборудования необходимо учесть требования соответствующей нормативно-технической документации, действующих на территории РФ (не ограничиваясь):</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Постановление правительства РФ от 17.07.2015 №719 «О подтверждении производства промышленной продукции на территории Российской Федерации»;</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Технический регламент Таможенного союза ТР ТС 010/</w:t>
      </w:r>
      <w:r>
        <w:rPr>
          <w:rFonts w:eastAsia="Times New Roman" w:cs="Times New Roman"/>
          <w:color w:val="C9211E"/>
          <w:sz w:val="24"/>
          <w:szCs w:val="24"/>
          <w:lang w:val="ru-RU"/>
        </w:rPr>
        <w:t>2011</w:t>
      </w:r>
      <w:r>
        <w:rPr>
          <w:rFonts w:eastAsia="Times New Roman" w:cs="Times New Roman"/>
          <w:sz w:val="24"/>
          <w:szCs w:val="24"/>
          <w:lang w:val="ru-RU"/>
        </w:rPr>
        <w:t xml:space="preserve"> «О безопасности машин и оборудования»;</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Технический регламент Таможенного союза ТР ТС 032/2013 «О безопасности оборудования, работающего под избыточным давление»;</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Технический регламент Таможенного союза ТР ТС 016/2011 "О безопасности аппаратов, работающих на газообразном топливе";</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ТР ТС 004/2011 Технический регламент Таможенного союза "О безопасности низковольтного оборудования";</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Федеральный закон №123-ФЗ «Технический регламент о требованиях пожарной безопасности»;</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Федеральный закон №116-ФЗ О промышленной безопасности опасных производственных объектов;</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Федеральный закон 102-ФЗ «Об обеспечении единства измерений»;</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xml:space="preserve">- Приказ Ростехнадзора РФ № 536 от 15.12.2020 г. Федеральные нормы и правила в области промышленной безопасности "Правила промышленной безопасности при использовании оборудования, работающего под избыточным давлением"; </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Приказ Ростехнадзора РФ № 531 от 15.12.2020 г. Федеральные нормы и правила в области промышленной безопасности "Правила безопасности сетей газораспределения и газопотребления";</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ГОСТ 21563-2016 «Котлы водогрейные. Основные параметры и технические требования»;</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ГОСТ 12.2.003-91 «Оборудование производственное. Общие требования безопасности»;</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xml:space="preserve">- ГОСТ 12.1.005-88 «Система стандартов безопасности труда. Общие санитарно-гигиенические требования к воздуху рабочей зоны»; </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ГОСТ</w:t>
      </w:r>
      <w:r>
        <w:rPr>
          <w:rFonts w:eastAsia="Times New Roman" w:cs="Times New Roman"/>
          <w:sz w:val="24"/>
          <w:szCs w:val="24"/>
        </w:rPr>
        <w:t> </w:t>
      </w:r>
      <w:r>
        <w:rPr>
          <w:rFonts w:eastAsia="Times New Roman" w:cs="Times New Roman"/>
          <w:sz w:val="24"/>
          <w:szCs w:val="24"/>
          <w:lang w:val="ru-RU"/>
        </w:rPr>
        <w:t>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xml:space="preserve">- ГОСТ 12.1.010-76 «Система стандартов безопасности труда. </w:t>
      </w:r>
      <w:r>
        <w:rPr>
          <w:rFonts w:eastAsia="Times New Roman" w:cs="Times New Roman"/>
          <w:sz w:val="24"/>
          <w:szCs w:val="24"/>
        </w:rPr>
        <w:t>Взрывобезопасность. Общие требования»;</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ГОСТ 12.1.003-2014 «Шум. Общие требования безопасности»;</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xml:space="preserve">- СП 90.13330.2012 «Электростанции тепловые». Актуализированная редакция СНиП </w:t>
      </w:r>
      <w:r>
        <w:rPr>
          <w:rFonts w:eastAsia="Times New Roman" w:cs="Times New Roman"/>
          <w:sz w:val="24"/>
          <w:szCs w:val="24"/>
        </w:rPr>
        <w:t>II</w:t>
      </w:r>
      <w:r>
        <w:rPr>
          <w:rFonts w:eastAsia="Times New Roman" w:cs="Times New Roman"/>
          <w:sz w:val="24"/>
          <w:szCs w:val="24"/>
          <w:lang w:val="ru-RU"/>
        </w:rPr>
        <w:t>-58-75</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СНиП 3.05.05-84 «Технологическое оборудование и технологические трубопроводы»;</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xml:space="preserve">- СП 89.13330.2016 «Котельные установки». Актуализированная редакция СНиП </w:t>
      </w:r>
      <w:r>
        <w:rPr>
          <w:rFonts w:eastAsia="Times New Roman" w:cs="Times New Roman"/>
          <w:sz w:val="24"/>
          <w:szCs w:val="24"/>
        </w:rPr>
        <w:t>II</w:t>
      </w:r>
      <w:r>
        <w:rPr>
          <w:rFonts w:eastAsia="Times New Roman" w:cs="Times New Roman"/>
          <w:sz w:val="24"/>
          <w:szCs w:val="24"/>
          <w:lang w:val="ru-RU"/>
        </w:rPr>
        <w:t>-35-76;</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СП</w:t>
      </w:r>
      <w:r>
        <w:rPr>
          <w:rFonts w:eastAsia="Times New Roman" w:cs="Times New Roman"/>
          <w:sz w:val="24"/>
          <w:szCs w:val="24"/>
        </w:rPr>
        <w:t> </w:t>
      </w:r>
      <w:r>
        <w:rPr>
          <w:rFonts w:eastAsia="Times New Roman" w:cs="Times New Roman"/>
          <w:sz w:val="24"/>
          <w:szCs w:val="24"/>
          <w:lang w:val="ru-RU"/>
        </w:rPr>
        <w:t>20.13330.2016 «Нагрузки и воздействия». Актуализированная редакция СНиП</w:t>
      </w:r>
      <w:r>
        <w:rPr>
          <w:rFonts w:eastAsia="Times New Roman" w:cs="Times New Roman"/>
          <w:sz w:val="24"/>
          <w:szCs w:val="24"/>
        </w:rPr>
        <w:t> </w:t>
      </w:r>
      <w:r>
        <w:rPr>
          <w:rFonts w:eastAsia="Times New Roman" w:cs="Times New Roman"/>
          <w:sz w:val="24"/>
          <w:szCs w:val="24"/>
          <w:lang w:val="ru-RU"/>
        </w:rPr>
        <w:t>2.01.07-85*;</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xml:space="preserve">- СП 61.13330.2012 «Тепловая изоляция оборудования и трубопроводов». </w:t>
      </w:r>
      <w:r>
        <w:rPr>
          <w:rFonts w:eastAsia="Times New Roman" w:cs="Times New Roman"/>
          <w:sz w:val="24"/>
          <w:szCs w:val="24"/>
        </w:rPr>
        <w:t>Актуализированная редакция СНиП 41-03-2003;</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rPr>
        <w:t>- Правила устройства электроустановок (ПУЭ);</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Правила техники безопасности при эксплуатации электроустановок потребителей;</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РД 34.03.201-97 Правила техники безопасности при эксплуатации тепломеханического оборудования электростанций и тепловых сетей;</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СО 34.20.514-2005 Методические указания по эксплуатации газового хозяйства тепловых электростанций;</w:t>
      </w:r>
    </w:p>
    <w:p>
      <w:pPr>
        <w:pStyle w:val="ListParagraph"/>
        <w:numPr>
          <w:ilvl w:val="0"/>
          <w:numId w:val="0"/>
        </w:numPr>
        <w:shd w:val="clear" w:color="auto" w:fill="FFFFFF" w:themeFill="background1"/>
        <w:spacing w:before="0" w:after="120"/>
        <w:ind w:left="1" w:hanging="0"/>
        <w:contextualSpacing/>
        <w:jc w:val="both"/>
        <w:rPr>
          <w:sz w:val="24"/>
          <w:szCs w:val="24"/>
        </w:rPr>
      </w:pPr>
      <w:r>
        <w:rPr>
          <w:sz w:val="24"/>
          <w:szCs w:val="24"/>
        </w:rPr>
      </w:r>
    </w:p>
    <w:p>
      <w:pPr>
        <w:pStyle w:val="ListParagraph"/>
        <w:numPr>
          <w:ilvl w:val="0"/>
          <w:numId w:val="0"/>
        </w:numPr>
        <w:shd w:val="clear" w:color="auto" w:fill="FFFFFF" w:themeFill="background1"/>
        <w:spacing w:before="0" w:after="120"/>
        <w:ind w:left="1" w:hanging="0"/>
        <w:contextualSpacing/>
        <w:jc w:val="both"/>
        <w:rPr>
          <w:sz w:val="24"/>
          <w:szCs w:val="24"/>
        </w:rPr>
      </w:pPr>
      <w:r>
        <w:rPr>
          <w:sz w:val="24"/>
          <w:szCs w:val="24"/>
        </w:rPr>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РД 24.031.120-91 Методические указания. Нормы качества сетевой и подпиточной воды водогрейных котлов, организация водно-химического режима и химического контроля</w:t>
      </w:r>
    </w:p>
    <w:p>
      <w:pPr>
        <w:pStyle w:val="ListParagraph"/>
        <w:numPr>
          <w:ilvl w:val="0"/>
          <w:numId w:val="0"/>
        </w:numPr>
        <w:shd w:val="clear" w:color="auto" w:fill="FFFFFF" w:themeFill="background1"/>
        <w:spacing w:before="0" w:after="120"/>
        <w:ind w:left="1" w:hanging="0"/>
        <w:contextualSpacing/>
        <w:jc w:val="both"/>
        <w:rPr>
          <w:sz w:val="24"/>
          <w:szCs w:val="24"/>
        </w:rPr>
      </w:pPr>
      <w:r>
        <w:rPr>
          <w:rFonts w:eastAsia="Times New Roman" w:cs="Times New Roman"/>
          <w:sz w:val="24"/>
          <w:szCs w:val="24"/>
          <w:lang w:val="ru-RU"/>
        </w:rPr>
        <w:t>- СО 34.35.101-2003 «Методические указания по объему технологических измерений, сигнализации, автоматического регулирования на тепловых электростанциях».</w:t>
      </w:r>
    </w:p>
    <w:p>
      <w:pPr>
        <w:pStyle w:val="Style24"/>
        <w:shd w:val="clear" w:color="auto" w:fill="FFFFFF" w:themeFill="background1"/>
        <w:spacing w:before="0" w:after="120"/>
        <w:ind w:left="142" w:firstLine="425"/>
        <w:rPr>
          <w:rFonts w:ascii="Times New Roman" w:hAnsi="Times New Roman" w:cs="Times New Roman"/>
          <w:color w:val="auto"/>
          <w:sz w:val="24"/>
          <w:szCs w:val="24"/>
        </w:rPr>
      </w:pPr>
      <w:r>
        <w:rPr>
          <w:rFonts w:ascii="Times New Roman" w:hAnsi="Times New Roman"/>
          <w:sz w:val="24"/>
          <w:szCs w:val="24"/>
          <w:lang w:eastAsia="en-US"/>
        </w:rPr>
        <w:t xml:space="preserve">Котлы должны быть включены в Реестр промышленной продукции, произведенной на территории Российской Федерации </w:t>
      </w:r>
      <w:hyperlink r:id="rId2" w:tgtFrame="https://gisp.gov.ru/pp719v2/pub/prod/">
        <w:r>
          <w:rPr>
            <w:rFonts w:ascii="Times New Roman" w:hAnsi="Times New Roman"/>
            <w:sz w:val="24"/>
            <w:szCs w:val="24"/>
            <w:lang w:eastAsia="en-US"/>
          </w:rPr>
          <w:t>https://gisp.gov.ru/pp719v2/pub/prod/</w:t>
        </w:r>
      </w:hyperlink>
      <w:r>
        <w:rPr>
          <w:rFonts w:ascii="Times New Roman" w:hAnsi="Times New Roman"/>
          <w:sz w:val="24"/>
          <w:szCs w:val="24"/>
          <w:lang w:eastAsia="en-US"/>
        </w:rPr>
        <w:t xml:space="preserve"> и в Перечень производителей промышленной продукции, произведенной на территории Российской Федерации </w:t>
      </w:r>
      <w:hyperlink r:id="rId3" w:tgtFrame="https://gisp.gov.ru/pp719v2/pub/org/">
        <w:r>
          <w:rPr>
            <w:rFonts w:ascii="Times New Roman" w:hAnsi="Times New Roman"/>
            <w:sz w:val="24"/>
            <w:szCs w:val="24"/>
            <w:lang w:eastAsia="en-US"/>
          </w:rPr>
          <w:t>https://gisp.gov.ru/pp719v2/pub/org/</w:t>
        </w:r>
      </w:hyperlink>
      <w:r>
        <w:rPr>
          <w:rFonts w:ascii="Times New Roman" w:hAnsi="Times New Roman"/>
          <w:sz w:val="24"/>
          <w:szCs w:val="24"/>
          <w:lang w:eastAsia="en-US"/>
        </w:rPr>
        <w:t>.</w:t>
      </w:r>
    </w:p>
    <w:p>
      <w:pPr>
        <w:pStyle w:val="Style24"/>
        <w:shd w:val="clear" w:color="auto" w:fill="FFFFFF" w:themeFill="background1"/>
        <w:spacing w:before="0" w:after="120"/>
        <w:ind w:left="142" w:firstLine="425"/>
        <w:rPr>
          <w:sz w:val="24"/>
          <w:szCs w:val="24"/>
        </w:rPr>
      </w:pPr>
      <w:r>
        <w:rPr>
          <w:rFonts w:ascii="Times New Roman" w:hAnsi="Times New Roman"/>
          <w:bCs w:val="false"/>
          <w:sz w:val="24"/>
          <w:szCs w:val="24"/>
        </w:rPr>
        <w:t>Поставляемое оборудование должно иметь высокую надежность и минимальные эксплуатационные затраты, а также обеспечить безопасный технологический процесс и работу котельной в целом.</w:t>
      </w:r>
    </w:p>
    <w:p>
      <w:pPr>
        <w:pStyle w:val="Style24"/>
        <w:shd w:val="clear" w:color="auto" w:fill="FFFFFF" w:themeFill="background1"/>
        <w:spacing w:before="0" w:after="120"/>
        <w:ind w:left="142" w:firstLine="425"/>
        <w:rPr>
          <w:sz w:val="24"/>
          <w:szCs w:val="24"/>
        </w:rPr>
      </w:pPr>
      <w:r>
        <w:rPr>
          <w:rFonts w:ascii="Times New Roman" w:hAnsi="Times New Roman"/>
          <w:bCs w:val="false"/>
          <w:sz w:val="24"/>
          <w:szCs w:val="24"/>
        </w:rPr>
        <w:t>Все поставляемое оборудование должно соответствовать ГОСТ 12.2.003-91 «Оборудование производственное. Общие требования безопасности». Оборудование, при необходимости, должно иметь сертификаты или декларации соответствия требованиям Техническим регламентам Таможенного союза.</w:t>
      </w:r>
    </w:p>
    <w:p>
      <w:pPr>
        <w:pStyle w:val="Style24"/>
        <w:shd w:val="clear" w:color="auto" w:fill="FFFFFF" w:themeFill="background1"/>
        <w:spacing w:before="0" w:after="120"/>
        <w:ind w:left="142" w:firstLine="425"/>
        <w:rPr>
          <w:sz w:val="24"/>
          <w:szCs w:val="24"/>
        </w:rPr>
      </w:pPr>
      <w:r>
        <w:rPr>
          <w:rFonts w:ascii="Times New Roman" w:hAnsi="Times New Roman"/>
          <w:bCs w:val="false"/>
          <w:sz w:val="24"/>
          <w:szCs w:val="24"/>
        </w:rPr>
        <w:t>Предусматривается поставка новых котлов не ранее 2026 г. выпуска.</w:t>
      </w:r>
    </w:p>
    <w:p>
      <w:pPr>
        <w:pStyle w:val="Style24"/>
        <w:shd w:val="clear" w:color="auto" w:fill="FFFFFF" w:themeFill="background1"/>
        <w:spacing w:before="0" w:after="120"/>
        <w:ind w:left="142" w:firstLine="425"/>
        <w:rPr>
          <w:sz w:val="24"/>
          <w:szCs w:val="24"/>
        </w:rPr>
      </w:pPr>
      <w:r>
        <w:rPr>
          <w:rFonts w:ascii="Times New Roman" w:hAnsi="Times New Roman"/>
          <w:bCs w:val="false"/>
          <w:sz w:val="24"/>
          <w:szCs w:val="24"/>
        </w:rPr>
        <w:t>1.2. Разработанной проектной документацией предусмотрено применение следующего основного оборудования:</w:t>
      </w:r>
    </w:p>
    <w:p>
      <w:pPr>
        <w:pStyle w:val="Style24"/>
        <w:shd w:val="clear" w:color="auto" w:fill="FFFFFF" w:themeFill="background1"/>
        <w:spacing w:before="0" w:after="120"/>
        <w:ind w:left="142" w:firstLine="425"/>
        <w:rPr>
          <w:color w:val="auto"/>
          <w:sz w:val="24"/>
          <w:szCs w:val="24"/>
        </w:rPr>
      </w:pPr>
      <w:r>
        <w:rPr>
          <w:rFonts w:ascii="Times New Roman" w:hAnsi="Times New Roman"/>
          <w:bCs w:val="false"/>
          <w:color w:val="auto"/>
          <w:sz w:val="24"/>
          <w:szCs w:val="24"/>
        </w:rPr>
        <w:t>- котел «Термотехник» ТТ 100 мощность 10000 кВт (или эквивалент) в комплекте, в количестве 1 шт. для нужд газовой котельной в 101 квартале г. Благовещенска, Амурская область;</w:t>
      </w:r>
    </w:p>
    <w:p>
      <w:pPr>
        <w:pStyle w:val="Style24"/>
        <w:shd w:val="clear" w:color="auto" w:fill="FFFFFF" w:themeFill="background1"/>
        <w:spacing w:before="0" w:after="120"/>
        <w:ind w:left="142" w:firstLine="425"/>
        <w:rPr>
          <w:color w:val="auto"/>
          <w:sz w:val="24"/>
          <w:szCs w:val="24"/>
        </w:rPr>
      </w:pPr>
      <w:r>
        <w:rPr>
          <w:rFonts w:ascii="Times New Roman" w:hAnsi="Times New Roman"/>
          <w:bCs w:val="false"/>
          <w:color w:val="auto"/>
          <w:sz w:val="24"/>
          <w:szCs w:val="24"/>
        </w:rPr>
        <w:t>- котел «Термотехник» ТТ 100 мощность 13000 кВт (или эквивалент) в комплекте, в количестве 6 шт. для нужд газовой котельной в 101 квартале г. Благовещенска, Амурская обл.</w:t>
      </w:r>
    </w:p>
    <w:p>
      <w:pPr>
        <w:pStyle w:val="Style24"/>
        <w:shd w:val="clear" w:color="auto" w:fill="FFFFFF" w:themeFill="background1"/>
        <w:spacing w:before="0" w:after="120"/>
        <w:ind w:left="142" w:firstLine="425"/>
        <w:rPr>
          <w:color w:val="auto"/>
          <w:sz w:val="24"/>
          <w:szCs w:val="24"/>
        </w:rPr>
      </w:pPr>
      <w:r>
        <w:rPr>
          <w:rFonts w:ascii="Times New Roman" w:hAnsi="Times New Roman"/>
          <w:bCs w:val="false"/>
          <w:color w:val="auto"/>
          <w:sz w:val="24"/>
          <w:szCs w:val="24"/>
        </w:rPr>
        <w:t>- котел «Термотехник» ТТ 100-01 мощность 10000 кВт (или эквивалент) в комплекте, в количестве 9 шт. для нужд газовой котельной в 252 квартале г. Благовещенска, Амурская обл.</w:t>
      </w:r>
    </w:p>
    <w:p>
      <w:pPr>
        <w:pStyle w:val="Style24"/>
        <w:shd w:val="clear" w:color="auto" w:fill="FFFFFF" w:themeFill="background1"/>
        <w:spacing w:before="0" w:after="120"/>
        <w:ind w:left="142" w:firstLine="425"/>
        <w:rPr>
          <w:color w:val="auto"/>
          <w:sz w:val="24"/>
          <w:szCs w:val="24"/>
        </w:rPr>
      </w:pPr>
      <w:r>
        <w:rPr>
          <w:rFonts w:ascii="Times New Roman" w:hAnsi="Times New Roman"/>
          <w:bCs w:val="false"/>
          <w:color w:val="auto"/>
          <w:sz w:val="24"/>
          <w:szCs w:val="24"/>
        </w:rPr>
        <w:t>- котел «Термотехник» ТТ 100-01 мощность 16500 кВт (или эквивалент) в комплекте, в количестве 6 шт. для нужд газовой котельной в 607 квартале г. Благовещенска, Амурская обл.</w:t>
      </w:r>
    </w:p>
    <w:p>
      <w:pPr>
        <w:pStyle w:val="Style24"/>
        <w:shd w:val="clear" w:color="auto" w:fill="FFFFFF" w:themeFill="background1"/>
        <w:spacing w:before="0" w:after="120"/>
        <w:ind w:left="142" w:firstLine="425"/>
        <w:rPr>
          <w:color w:val="auto"/>
          <w:sz w:val="24"/>
          <w:szCs w:val="24"/>
        </w:rPr>
      </w:pPr>
      <w:r>
        <w:rPr>
          <w:rFonts w:ascii="Times New Roman" w:hAnsi="Times New Roman"/>
          <w:bCs w:val="false"/>
          <w:color w:val="auto"/>
          <w:sz w:val="24"/>
          <w:szCs w:val="24"/>
        </w:rPr>
        <w:t>Претендент-Поставщик вправе предложить оборудование иного производителя при условии:</w:t>
      </w:r>
    </w:p>
    <w:p>
      <w:pPr>
        <w:pStyle w:val="Style24"/>
        <w:shd w:val="clear" w:color="auto" w:fill="FFFFFF" w:themeFill="background1"/>
        <w:spacing w:before="0" w:after="120"/>
        <w:ind w:left="142" w:firstLine="425"/>
        <w:rPr>
          <w:sz w:val="24"/>
          <w:szCs w:val="24"/>
        </w:rPr>
      </w:pPr>
      <w:r>
        <w:rPr>
          <w:rFonts w:ascii="Times New Roman" w:hAnsi="Times New Roman"/>
          <w:bCs w:val="false"/>
          <w:sz w:val="24"/>
          <w:szCs w:val="24"/>
        </w:rPr>
        <w:t>- соответствия характеристик заявленным в технических требованиях;</w:t>
      </w:r>
    </w:p>
    <w:p>
      <w:pPr>
        <w:pStyle w:val="Style24"/>
        <w:shd w:val="clear" w:color="auto" w:fill="FFFFFF" w:themeFill="background1"/>
        <w:spacing w:before="0" w:after="120"/>
        <w:ind w:left="142" w:firstLine="425"/>
        <w:rPr>
          <w:sz w:val="24"/>
          <w:szCs w:val="24"/>
        </w:rPr>
      </w:pPr>
      <w:r>
        <w:rPr>
          <w:rFonts w:ascii="Times New Roman" w:hAnsi="Times New Roman"/>
          <w:bCs w:val="false"/>
          <w:sz w:val="24"/>
          <w:szCs w:val="24"/>
        </w:rPr>
        <w:t>- проведения за счет Поставщика работ по корректировке соответствующих разделов проектной документации в части применения предлагаемого оборудования в необходимом объеме;</w:t>
      </w:r>
    </w:p>
    <w:p>
      <w:pPr>
        <w:pStyle w:val="Style24"/>
        <w:shd w:val="clear" w:color="auto" w:fill="FFFFFF" w:themeFill="background1"/>
        <w:spacing w:before="0" w:after="120"/>
        <w:ind w:left="142" w:firstLine="425"/>
        <w:rPr>
          <w:sz w:val="24"/>
          <w:szCs w:val="24"/>
        </w:rPr>
      </w:pPr>
      <w:r>
        <w:rPr>
          <w:rFonts w:ascii="Times New Roman" w:hAnsi="Times New Roman"/>
          <w:bCs w:val="false"/>
          <w:sz w:val="24"/>
          <w:szCs w:val="24"/>
        </w:rPr>
        <w:t>- проведения за счет Поставщика государственной экспертизы, откорректированной проектной и сметной документации (при необходимости).</w:t>
      </w:r>
    </w:p>
    <w:p>
      <w:pPr>
        <w:pStyle w:val="Heading1"/>
        <w:keepLines w:val="false"/>
        <w:numPr>
          <w:ilvl w:val="0"/>
          <w:numId w:val="2"/>
        </w:numPr>
        <w:spacing w:before="360" w:after="360"/>
        <w:ind w:left="448" w:hanging="448"/>
        <w:jc w:val="left"/>
        <w:rPr>
          <w:sz w:val="24"/>
          <w:szCs w:val="24"/>
        </w:rPr>
      </w:pPr>
      <w:bookmarkStart w:id="2" w:name="_Toc3"/>
      <w:r>
        <w:rPr>
          <w:sz w:val="24"/>
          <w:szCs w:val="24"/>
        </w:rPr>
        <w:t xml:space="preserve">Объем работ </w:t>
      </w:r>
      <w:bookmarkEnd w:id="2"/>
    </w:p>
    <w:p>
      <w:pPr>
        <w:pStyle w:val="13"/>
        <w:widowControl/>
        <w:shd w:val="clear" w:color="auto" w:fill="FFFFFF" w:themeFill="background1"/>
        <w:suppressAutoHyphens w:val="false"/>
        <w:bidi w:val="0"/>
        <w:spacing w:lineRule="auto" w:line="240" w:before="0" w:after="0"/>
        <w:ind w:left="57" w:right="1587" w:firstLine="283"/>
        <w:jc w:val="both"/>
        <w:rPr>
          <w:sz w:val="24"/>
          <w:szCs w:val="24"/>
        </w:rPr>
      </w:pPr>
      <w:r>
        <w:rPr>
          <w:rFonts w:ascii="Times New Roman" w:hAnsi="Times New Roman"/>
          <w:sz w:val="24"/>
          <w:szCs w:val="24"/>
        </w:rPr>
        <w:t>Для строительства газовых котельных в 252, 101 и 607 кварталах в г. Благовещенск Амурской области.</w:t>
      </w:r>
    </w:p>
    <w:p>
      <w:pPr>
        <w:pStyle w:val="13"/>
        <w:widowControl/>
        <w:shd w:val="clear" w:color="auto" w:fill="FFFFFF" w:themeFill="background1"/>
        <w:suppressAutoHyphens w:val="false"/>
        <w:bidi w:val="0"/>
        <w:spacing w:lineRule="auto" w:line="240" w:before="0" w:after="0"/>
        <w:ind w:left="57" w:right="1587" w:firstLine="283"/>
        <w:jc w:val="both"/>
        <w:rPr>
          <w:sz w:val="24"/>
          <w:szCs w:val="24"/>
        </w:rPr>
      </w:pPr>
      <w:r>
        <w:rPr>
          <w:rFonts w:ascii="Times New Roman" w:hAnsi="Times New Roman"/>
          <w:sz w:val="24"/>
          <w:szCs w:val="24"/>
        </w:rPr>
        <w:t>В объем работ Поставщика включается:</w:t>
      </w:r>
    </w:p>
    <w:p>
      <w:pPr>
        <w:pStyle w:val="13"/>
        <w:widowControl/>
        <w:numPr>
          <w:ilvl w:val="0"/>
          <w:numId w:val="0"/>
        </w:numPr>
        <w:shd w:val="clear" w:color="auto" w:fill="FFFFFF" w:themeFill="background1"/>
        <w:suppressAutoHyphens w:val="false"/>
        <w:bidi w:val="0"/>
        <w:spacing w:lineRule="auto" w:line="240" w:before="0" w:after="0"/>
        <w:ind w:left="57" w:right="510" w:hanging="0"/>
        <w:jc w:val="both"/>
        <w:rPr>
          <w:sz w:val="24"/>
          <w:szCs w:val="24"/>
        </w:rPr>
      </w:pPr>
      <w:r>
        <w:rPr>
          <w:rFonts w:ascii="Times New Roman" w:hAnsi="Times New Roman"/>
          <w:sz w:val="24"/>
          <w:szCs w:val="24"/>
        </w:rPr>
        <w:t>- выдача исходных данных и необходимой для разработки проектной и рабочей  документации;</w:t>
      </w:r>
    </w:p>
    <w:p>
      <w:pPr>
        <w:pStyle w:val="13"/>
        <w:widowControl/>
        <w:numPr>
          <w:ilvl w:val="0"/>
          <w:numId w:val="0"/>
        </w:numPr>
        <w:shd w:val="clear" w:color="auto" w:fill="FFFFFF" w:themeFill="background1"/>
        <w:suppressAutoHyphens w:val="false"/>
        <w:bidi w:val="0"/>
        <w:spacing w:lineRule="auto" w:line="240" w:before="0" w:after="0"/>
        <w:ind w:left="57" w:right="510" w:hanging="0"/>
        <w:jc w:val="both"/>
        <w:rPr>
          <w:sz w:val="24"/>
          <w:szCs w:val="24"/>
        </w:rPr>
      </w:pPr>
      <w:r>
        <w:rPr>
          <w:rFonts w:ascii="Times New Roman" w:hAnsi="Times New Roman"/>
          <w:sz w:val="24"/>
          <w:szCs w:val="24"/>
        </w:rPr>
        <w:t>- выполнение конструкторской документации по котельным установкам,  кроме строительной части фундаментов водогрейных котлов, вспомогательного оборудования в объеме поставки;</w:t>
      </w:r>
    </w:p>
    <w:p>
      <w:pPr>
        <w:pStyle w:val="13"/>
        <w:widowControl/>
        <w:numPr>
          <w:ilvl w:val="0"/>
          <w:numId w:val="0"/>
        </w:numPr>
        <w:shd w:val="clear" w:color="auto" w:fill="FFFFFF" w:themeFill="background1"/>
        <w:suppressAutoHyphens w:val="false"/>
        <w:bidi w:val="0"/>
        <w:spacing w:lineRule="auto" w:line="240" w:before="0" w:after="0"/>
        <w:ind w:left="57" w:right="510" w:hanging="0"/>
        <w:jc w:val="both"/>
        <w:rPr>
          <w:sz w:val="24"/>
          <w:szCs w:val="24"/>
        </w:rPr>
      </w:pPr>
      <w:r>
        <w:rPr>
          <w:rFonts w:ascii="Times New Roman" w:hAnsi="Times New Roman"/>
          <w:sz w:val="24"/>
          <w:szCs w:val="24"/>
        </w:rPr>
        <w:t>- изготовление и сборка;</w:t>
      </w:r>
    </w:p>
    <w:p>
      <w:pPr>
        <w:pStyle w:val="13"/>
        <w:widowControl/>
        <w:numPr>
          <w:ilvl w:val="0"/>
          <w:numId w:val="0"/>
        </w:numPr>
        <w:shd w:val="clear" w:color="auto" w:fill="FFFFFF" w:themeFill="background1"/>
        <w:suppressAutoHyphens w:val="false"/>
        <w:bidi w:val="0"/>
        <w:spacing w:lineRule="auto" w:line="240" w:before="0" w:after="0"/>
        <w:ind w:left="57" w:right="510" w:hanging="0"/>
        <w:jc w:val="both"/>
        <w:rPr>
          <w:sz w:val="24"/>
          <w:szCs w:val="24"/>
        </w:rPr>
      </w:pPr>
      <w:r>
        <w:rPr>
          <w:rFonts w:ascii="Times New Roman" w:hAnsi="Times New Roman"/>
          <w:sz w:val="24"/>
          <w:szCs w:val="24"/>
        </w:rPr>
        <w:t>- испытание на заводе-изготовителе;</w:t>
      </w:r>
    </w:p>
    <w:p>
      <w:pPr>
        <w:pStyle w:val="13"/>
        <w:widowControl/>
        <w:numPr>
          <w:ilvl w:val="0"/>
          <w:numId w:val="0"/>
        </w:numPr>
        <w:shd w:val="clear" w:color="auto" w:fill="FFFFFF" w:themeFill="background1"/>
        <w:suppressAutoHyphens w:val="false"/>
        <w:bidi w:val="0"/>
        <w:spacing w:lineRule="auto" w:line="240" w:before="0" w:after="0"/>
        <w:ind w:left="57" w:right="510" w:hanging="0"/>
        <w:jc w:val="both"/>
        <w:rPr>
          <w:sz w:val="24"/>
          <w:szCs w:val="24"/>
        </w:rPr>
      </w:pPr>
      <w:r>
        <w:rPr>
          <w:rFonts w:ascii="Times New Roman" w:hAnsi="Times New Roman"/>
          <w:sz w:val="24"/>
          <w:szCs w:val="24"/>
        </w:rPr>
        <w:t>- транспортировочная консервация оборудования в соответствии с документацией Завода-изготовителя;</w:t>
      </w:r>
    </w:p>
    <w:p>
      <w:pPr>
        <w:pStyle w:val="13"/>
        <w:widowControl/>
        <w:numPr>
          <w:ilvl w:val="0"/>
          <w:numId w:val="0"/>
        </w:numPr>
        <w:shd w:val="clear" w:color="auto" w:fill="FFFFFF" w:themeFill="background1"/>
        <w:suppressAutoHyphens w:val="false"/>
        <w:bidi w:val="0"/>
        <w:spacing w:lineRule="auto" w:line="240" w:before="0" w:after="0"/>
        <w:ind w:left="57" w:right="510" w:hanging="0"/>
        <w:jc w:val="both"/>
        <w:rPr>
          <w:sz w:val="24"/>
          <w:szCs w:val="24"/>
        </w:rPr>
      </w:pPr>
      <w:r>
        <w:rPr>
          <w:rFonts w:ascii="Times New Roman" w:hAnsi="Times New Roman"/>
          <w:sz w:val="24"/>
          <w:szCs w:val="24"/>
        </w:rPr>
        <w:t>- поставка на площадку строительства (либо место, указываемое заказчиком);</w:t>
      </w:r>
    </w:p>
    <w:p>
      <w:pPr>
        <w:pStyle w:val="13"/>
        <w:widowControl/>
        <w:numPr>
          <w:ilvl w:val="0"/>
          <w:numId w:val="0"/>
        </w:numPr>
        <w:shd w:val="clear" w:color="auto" w:fill="FFFFFF" w:themeFill="background1"/>
        <w:suppressAutoHyphens w:val="false"/>
        <w:bidi w:val="0"/>
        <w:spacing w:lineRule="auto" w:line="240" w:before="0" w:after="0"/>
        <w:ind w:left="57" w:right="510" w:hanging="0"/>
        <w:jc w:val="both"/>
        <w:rPr>
          <w:sz w:val="24"/>
          <w:szCs w:val="24"/>
        </w:rPr>
      </w:pPr>
      <w:r>
        <w:rPr>
          <w:rFonts w:ascii="Times New Roman" w:hAnsi="Times New Roman"/>
          <w:sz w:val="24"/>
          <w:szCs w:val="24"/>
        </w:rPr>
        <w:t xml:space="preserve">- передача Заказчику на русском языке документации на оборудование, паспорта на оборудование, сертификатов на оборудование и материалы, монтажных чертежей, инструкций по монтажу, и эксплуатации. </w:t>
      </w:r>
    </w:p>
    <w:p>
      <w:pPr>
        <w:pStyle w:val="Normal"/>
        <w:spacing w:lineRule="auto" w:line="240"/>
        <w:rPr>
          <w:rFonts w:ascii="Times New Roman" w:hAnsi="Times New Roman" w:cs="Times New Roman"/>
          <w:sz w:val="24"/>
          <w:szCs w:val="24"/>
          <w:lang w:val="ru-RU"/>
        </w:rPr>
      </w:pPr>
      <w:r>
        <w:rPr>
          <w:rFonts w:cs="Times New Roman"/>
          <w:sz w:val="24"/>
          <w:szCs w:val="24"/>
          <w:lang w:val="ru-RU"/>
        </w:rPr>
      </w:r>
    </w:p>
    <w:p>
      <w:pPr>
        <w:pStyle w:val="Normal"/>
        <w:spacing w:lineRule="auto" w:line="240"/>
        <w:rPr>
          <w:rFonts w:ascii="Times New Roman" w:hAnsi="Times New Roman" w:cs="Times New Roman"/>
          <w:sz w:val="24"/>
          <w:szCs w:val="24"/>
          <w:lang w:val="ru-RU"/>
        </w:rPr>
      </w:pPr>
      <w:r>
        <w:rPr>
          <w:rFonts w:cs="Times New Roman"/>
          <w:sz w:val="24"/>
          <w:szCs w:val="24"/>
          <w:lang w:val="ru-RU"/>
        </w:rPr>
      </w:r>
    </w:p>
    <w:p>
      <w:pPr>
        <w:pStyle w:val="13"/>
        <w:shd w:val="clear" w:color="auto" w:fill="FFFFFF" w:themeFill="background1"/>
        <w:spacing w:lineRule="auto" w:line="240" w:before="0" w:after="0"/>
        <w:ind w:left="450" w:hanging="0"/>
        <w:jc w:val="both"/>
        <w:rPr>
          <w:rFonts w:ascii="Times New Roman" w:hAnsi="Times New Roman"/>
          <w:sz w:val="24"/>
          <w:szCs w:val="24"/>
        </w:rPr>
      </w:pPr>
      <w:r>
        <w:rPr>
          <w:rFonts w:ascii="Times New Roman" w:hAnsi="Times New Roman"/>
          <w:sz w:val="24"/>
          <w:szCs w:val="24"/>
        </w:rPr>
      </w:r>
      <w:r>
        <w:br w:type="page"/>
      </w:r>
    </w:p>
    <w:p>
      <w:pPr>
        <w:pStyle w:val="Heading1"/>
        <w:keepLines w:val="false"/>
        <w:numPr>
          <w:ilvl w:val="0"/>
          <w:numId w:val="2"/>
        </w:numPr>
        <w:tabs>
          <w:tab w:val="clear" w:pos="720"/>
          <w:tab w:val="left" w:pos="567" w:leader="none"/>
        </w:tabs>
        <w:spacing w:before="360" w:after="360"/>
        <w:ind w:left="448" w:hanging="448"/>
        <w:jc w:val="left"/>
        <w:rPr>
          <w:sz w:val="24"/>
          <w:szCs w:val="24"/>
        </w:rPr>
      </w:pPr>
      <w:bookmarkStart w:id="3" w:name="_Toc4"/>
      <w:r>
        <w:rPr>
          <w:color w:val="auto"/>
          <w:sz w:val="24"/>
          <w:szCs w:val="24"/>
        </w:rPr>
        <w:t xml:space="preserve">Запасные части, </w:t>
      </w:r>
      <w:r>
        <w:rPr>
          <w:sz w:val="24"/>
          <w:szCs w:val="24"/>
        </w:rPr>
        <w:t>инструменты, расходные материалы</w:t>
      </w:r>
      <w:bookmarkEnd w:id="3"/>
    </w:p>
    <w:p>
      <w:pPr>
        <w:pStyle w:val="Normal"/>
        <w:shd w:val="clear" w:color="FFFFFF" w:themeColor="background1" w:fill="FFFFFF" w:themeFill="background1"/>
        <w:spacing w:lineRule="auto" w:line="240" w:before="0" w:after="120"/>
        <w:ind w:firstLine="454"/>
        <w:jc w:val="both"/>
        <w:rPr>
          <w:color w:val="111111"/>
        </w:rPr>
      </w:pPr>
      <w:r>
        <w:rPr>
          <w:rFonts w:eastAsia="Times New Roman" w:cs="Times New Roman"/>
          <w:color w:val="111111"/>
          <w:sz w:val="24"/>
          <w:szCs w:val="24"/>
          <w:highlight w:val="white"/>
          <w:shd w:fill="FFFF00" w:val="clear"/>
          <w:lang w:val="ru-RU"/>
        </w:rPr>
        <w:t>Поставщик, в течении гарантийного срока, должен гарантировать</w:t>
      </w:r>
      <w:r>
        <w:rPr>
          <w:rFonts w:eastAsia="Times New Roman" w:cs="Times New Roman"/>
          <w:color w:val="111111"/>
          <w:sz w:val="24"/>
          <w:szCs w:val="24"/>
          <w:highlight w:val="white"/>
          <w:lang w:val="ru-RU"/>
        </w:rPr>
        <w:t xml:space="preserve"> поставку комплекта запасных частей, специальных инструментов и расходных материалов на основе разработанных заводами-изготовителями (производителями) технологий ремонтов с учетом периодичности и сроков, в соответствии с нормативными документами завода изготовителя (п</w:t>
      </w:r>
      <w:r>
        <w:rPr>
          <w:rFonts w:eastAsia="Times New Roman" w:cs="Times New Roman"/>
          <w:color w:val="111111"/>
          <w:sz w:val="24"/>
          <w:szCs w:val="24"/>
          <w:highlight w:val="white"/>
          <w:shd w:fill="FFFF00" w:val="clear"/>
          <w:lang w:val="ru-RU"/>
        </w:rPr>
        <w:t>роизводителя)</w:t>
      </w:r>
      <w:r>
        <w:rPr>
          <w:rFonts w:eastAsia="Times New Roman" w:cs="Times New Roman"/>
          <w:color w:val="111111"/>
          <w:sz w:val="24"/>
          <w:szCs w:val="24"/>
          <w:highlight w:val="white"/>
          <w:lang w:val="ru-RU"/>
        </w:rPr>
        <w:t>.</w:t>
      </w:r>
    </w:p>
    <w:p>
      <w:pPr>
        <w:pStyle w:val="Normal"/>
        <w:spacing w:lineRule="auto" w:line="360"/>
        <w:ind w:firstLine="456"/>
        <w:jc w:val="both"/>
        <w:rPr>
          <w:szCs w:val="20"/>
        </w:rPr>
      </w:pPr>
      <w:r>
        <w:rPr>
          <w:szCs w:val="20"/>
        </w:rPr>
      </w:r>
    </w:p>
    <w:p>
      <w:pPr>
        <w:pStyle w:val="Normal"/>
        <w:spacing w:lineRule="auto" w:line="360"/>
        <w:ind w:firstLine="456"/>
        <w:jc w:val="both"/>
        <w:rPr>
          <w:szCs w:val="20"/>
        </w:rPr>
      </w:pPr>
      <w:r>
        <w:rPr>
          <w:szCs w:val="20"/>
        </w:rPr>
      </w:r>
    </w:p>
    <w:p>
      <w:pPr>
        <w:pStyle w:val="Normal"/>
        <w:spacing w:lineRule="auto" w:line="360"/>
        <w:ind w:firstLine="456"/>
        <w:jc w:val="both"/>
        <w:rPr>
          <w:szCs w:val="20"/>
        </w:rPr>
      </w:pPr>
      <w:r>
        <w:rPr>
          <w:szCs w:val="20"/>
        </w:rPr>
      </w:r>
    </w:p>
    <w:p>
      <w:pPr>
        <w:pStyle w:val="Normal"/>
        <w:rPr>
          <w:szCs w:val="20"/>
        </w:rPr>
      </w:pPr>
      <w:r>
        <w:rPr>
          <w:szCs w:val="20"/>
        </w:rPr>
      </w:r>
      <w:r>
        <w:br w:type="page"/>
      </w:r>
    </w:p>
    <w:p>
      <w:pPr>
        <w:pStyle w:val="Heading1"/>
        <w:keepLines w:val="false"/>
        <w:numPr>
          <w:ilvl w:val="0"/>
          <w:numId w:val="2"/>
        </w:numPr>
        <w:tabs>
          <w:tab w:val="clear" w:pos="720"/>
          <w:tab w:val="left" w:pos="567" w:leader="none"/>
        </w:tabs>
        <w:spacing w:before="360" w:after="360"/>
        <w:ind w:left="448" w:hanging="448"/>
        <w:jc w:val="left"/>
        <w:rPr>
          <w:sz w:val="24"/>
          <w:szCs w:val="24"/>
        </w:rPr>
      </w:pPr>
      <w:bookmarkStart w:id="4" w:name="_Toc5"/>
      <w:r>
        <w:rPr>
          <w:sz w:val="24"/>
          <w:szCs w:val="24"/>
        </w:rPr>
        <w:t>Требования к технической документации</w:t>
      </w:r>
      <w:bookmarkEnd w:id="4"/>
    </w:p>
    <w:p>
      <w:pPr>
        <w:pStyle w:val="Normal"/>
        <w:ind w:firstLine="456"/>
        <w:jc w:val="both"/>
        <w:rPr>
          <w:szCs w:val="20"/>
        </w:rPr>
      </w:pPr>
      <w:r>
        <w:rPr>
          <w:szCs w:val="20"/>
        </w:rPr>
        <w:t>Техническую документацию выполнить в соответствии с требованиями действующих норм и правил. Паспорта на оборудование, входящее в состав комплектной поставки блочно-модульной газовой котельной, должны соответствовать ГОСТ 2.601-2019.</w:t>
      </w:r>
    </w:p>
    <w:p>
      <w:pPr>
        <w:pStyle w:val="Normal"/>
        <w:ind w:firstLine="456"/>
        <w:jc w:val="both"/>
        <w:rPr>
          <w:szCs w:val="20"/>
        </w:rPr>
      </w:pPr>
      <w:r>
        <w:rPr>
          <w:szCs w:val="20"/>
        </w:rPr>
        <w:t>В переписке, документации, расчетах, чертежах, измерениях и т.д. должна использоваться международная система единиц (СИ). Давление должно указываться в Па, кПа, МПа при указании избыточного давления.</w:t>
      </w:r>
    </w:p>
    <w:p>
      <w:pPr>
        <w:pStyle w:val="Normal"/>
        <w:ind w:firstLine="456"/>
        <w:jc w:val="both"/>
        <w:rPr>
          <w:szCs w:val="20"/>
        </w:rPr>
      </w:pPr>
      <w:r>
        <w:rPr>
          <w:szCs w:val="20"/>
        </w:rPr>
        <w:t>Температура должна быть указана в градусах Цельсия.</w:t>
      </w:r>
    </w:p>
    <w:p>
      <w:pPr>
        <w:pStyle w:val="Normal"/>
        <w:ind w:firstLine="456"/>
        <w:jc w:val="both"/>
        <w:rPr>
          <w:rFonts w:ascii="Times New Roman" w:hAnsi="Times New Roman" w:cs="Times New Roman"/>
          <w:color w:val="auto"/>
          <w:sz w:val="24"/>
          <w:szCs w:val="24"/>
        </w:rPr>
      </w:pPr>
      <w:r>
        <w:rPr/>
        <w:t>Уровень должен указываться в метрах.</w:t>
      </w:r>
    </w:p>
    <w:p>
      <w:pPr>
        <w:pStyle w:val="Normal"/>
        <w:ind w:firstLine="456"/>
        <w:jc w:val="both"/>
        <w:rPr>
          <w:rFonts w:ascii="Times New Roman" w:hAnsi="Times New Roman" w:cs="Times New Roman"/>
          <w:color w:val="auto"/>
          <w:sz w:val="24"/>
          <w:szCs w:val="24"/>
        </w:rPr>
      </w:pPr>
      <w:r>
        <w:rPr/>
        <w:t>Расход должен указываться:</w:t>
      </w:r>
    </w:p>
    <w:p>
      <w:pPr>
        <w:pStyle w:val="Normal"/>
        <w:ind w:firstLine="456"/>
        <w:jc w:val="both"/>
        <w:rPr>
          <w:rFonts w:ascii="Times New Roman" w:hAnsi="Times New Roman" w:cs="Times New Roman"/>
          <w:color w:val="auto"/>
          <w:sz w:val="24"/>
          <w:szCs w:val="24"/>
        </w:rPr>
      </w:pPr>
      <w:r>
        <w:rPr/>
        <w:t>- массовый - в кг/с, т/ч;</w:t>
      </w:r>
    </w:p>
    <w:p>
      <w:pPr>
        <w:pStyle w:val="Normal"/>
        <w:ind w:firstLine="456"/>
        <w:jc w:val="both"/>
        <w:rPr>
          <w:rFonts w:ascii="Times New Roman" w:hAnsi="Times New Roman" w:cs="Times New Roman"/>
          <w:color w:val="auto"/>
          <w:sz w:val="24"/>
          <w:szCs w:val="24"/>
        </w:rPr>
      </w:pPr>
      <w:r>
        <w:rPr/>
        <w:t>- объемный – в л/с, м³/ч.</w:t>
      </w:r>
    </w:p>
    <w:p>
      <w:pPr>
        <w:pStyle w:val="Normal"/>
        <w:ind w:firstLine="456"/>
        <w:jc w:val="both"/>
        <w:rPr>
          <w:szCs w:val="20"/>
        </w:rPr>
      </w:pPr>
      <w:r>
        <w:rPr/>
        <w:t>Тепловую мощность и энергию допускается указыват</w:t>
      </w:r>
      <w:r>
        <w:rPr>
          <w:color w:val="auto"/>
        </w:rPr>
        <w:t>ь в Гкал/ч и Гкал соответствен</w:t>
      </w:r>
      <w:r>
        <w:rPr/>
        <w:t>но.</w:t>
      </w:r>
    </w:p>
    <w:p>
      <w:pPr>
        <w:pStyle w:val="Normal"/>
        <w:ind w:firstLine="456"/>
        <w:jc w:val="both"/>
        <w:rPr>
          <w:szCs w:val="20"/>
        </w:rPr>
      </w:pPr>
      <w:r>
        <w:rPr>
          <w:szCs w:val="20"/>
        </w:rPr>
        <w:t>Вся документация должна быть представлена на русском языке.</w:t>
      </w:r>
    </w:p>
    <w:p>
      <w:pPr>
        <w:pStyle w:val="Heading1"/>
        <w:keepLines w:val="false"/>
        <w:numPr>
          <w:ilvl w:val="0"/>
          <w:numId w:val="2"/>
        </w:numPr>
        <w:tabs>
          <w:tab w:val="clear" w:pos="720"/>
          <w:tab w:val="left" w:pos="567" w:leader="none"/>
        </w:tabs>
        <w:spacing w:before="0" w:after="360"/>
        <w:ind w:left="448" w:hanging="448"/>
        <w:jc w:val="left"/>
        <w:rPr>
          <w:sz w:val="24"/>
          <w:szCs w:val="24"/>
        </w:rPr>
      </w:pPr>
      <w:bookmarkStart w:id="5" w:name="_Toc6"/>
      <w:r>
        <w:rPr>
          <w:sz w:val="24"/>
          <w:szCs w:val="24"/>
        </w:rPr>
        <w:t xml:space="preserve">Технические </w:t>
      </w:r>
      <w:bookmarkEnd w:id="5"/>
      <w:r>
        <w:rPr>
          <w:sz w:val="24"/>
          <w:szCs w:val="24"/>
        </w:rPr>
        <w:t>требования к конструкции, изготовлению.</w:t>
      </w:r>
    </w:p>
    <w:p>
      <w:pPr>
        <w:pStyle w:val="Normal"/>
        <w:widowControl/>
        <w:shd w:val="clear" w:color="auto" w:fill="FFFFFF" w:themeFill="background1"/>
        <w:suppressAutoHyphens w:val="false"/>
        <w:bidi w:val="0"/>
        <w:spacing w:lineRule="auto" w:line="240" w:before="0" w:after="0"/>
        <w:ind w:left="0" w:right="227" w:hanging="0"/>
        <w:jc w:val="both"/>
        <w:rPr>
          <w:sz w:val="24"/>
          <w:szCs w:val="24"/>
        </w:rPr>
      </w:pPr>
      <w:r>
        <w:rPr>
          <w:rFonts w:eastAsia="Times New Roman" w:cs="Times New Roman"/>
          <w:sz w:val="24"/>
          <w:szCs w:val="24"/>
          <w:lang w:val="ru-RU"/>
        </w:rPr>
        <w:t>Основное топливо для котлов – природный газ по ГОСТ 5542-2022.</w:t>
      </w:r>
    </w:p>
    <w:p>
      <w:pPr>
        <w:pStyle w:val="Normal"/>
        <w:widowControl/>
        <w:shd w:val="clear" w:color="auto" w:fill="FFFFFF" w:themeFill="background1"/>
        <w:suppressAutoHyphens w:val="false"/>
        <w:bidi w:val="0"/>
        <w:spacing w:lineRule="auto" w:line="240" w:before="0" w:after="0"/>
        <w:ind w:left="0" w:right="227" w:hanging="0"/>
        <w:jc w:val="both"/>
        <w:rPr>
          <w:sz w:val="24"/>
          <w:szCs w:val="24"/>
        </w:rPr>
      </w:pPr>
      <w:r>
        <w:rPr>
          <w:rFonts w:eastAsia="Times New Roman" w:cs="Times New Roman"/>
          <w:sz w:val="24"/>
          <w:szCs w:val="24"/>
          <w:lang w:val="ru-RU"/>
        </w:rPr>
        <w:t>Аварийное топливо - дизельное топливо зимнее по ГОСТ 32511-2013.</w:t>
      </w:r>
    </w:p>
    <w:p>
      <w:pPr>
        <w:pStyle w:val="Normal"/>
        <w:spacing w:lineRule="auto" w:line="240" w:before="0" w:after="0"/>
        <w:jc w:val="left"/>
        <w:rPr>
          <w:rFonts w:ascii="Times New Roman" w:hAnsi="Times New Roman" w:cs="Times New Roman"/>
          <w:b/>
          <w:bCs/>
          <w:u w:val="single"/>
          <w:lang w:val="ru-RU"/>
        </w:rPr>
      </w:pPr>
      <w:r>
        <w:rPr>
          <w:rFonts w:cs="Times New Roman"/>
          <w:b/>
          <w:bCs/>
          <w:u w:val="single"/>
          <w:lang w:val="ru-RU"/>
        </w:rPr>
      </w:r>
    </w:p>
    <w:p>
      <w:pPr>
        <w:pStyle w:val="Normal"/>
        <w:spacing w:lineRule="auto" w:line="240" w:before="0" w:after="0"/>
        <w:jc w:val="left"/>
        <w:rPr>
          <w:sz w:val="24"/>
          <w:szCs w:val="24"/>
          <w:highlight w:val="none"/>
        </w:rPr>
      </w:pPr>
      <w:r>
        <w:rPr>
          <w:rFonts w:cs="Times New Roman"/>
          <w:b w:val="false"/>
          <w:bCs w:val="false"/>
          <w:sz w:val="24"/>
          <w:szCs w:val="24"/>
          <w:lang w:val="ru-RU"/>
        </w:rPr>
        <w:t>6.1.</w:t>
      </w:r>
      <w:r>
        <w:rPr>
          <w:rFonts w:cs="Times New Roman"/>
          <w:b/>
          <w:bCs/>
          <w:sz w:val="24"/>
          <w:szCs w:val="24"/>
          <w:lang w:val="ru-RU"/>
        </w:rPr>
        <w:t xml:space="preserve"> </w:t>
      </w:r>
      <w:r>
        <w:rPr>
          <w:rFonts w:cs="Times New Roman"/>
          <w:b w:val="false"/>
          <w:bCs/>
          <w:i/>
          <w:iCs/>
          <w:strike w:val="false"/>
          <w:dstrike w:val="false"/>
          <w:color w:val="000000"/>
          <w:sz w:val="24"/>
          <w:szCs w:val="24"/>
          <w:u w:val="single"/>
          <w:lang w:val="ru-RU"/>
        </w:rPr>
        <w:t>Котел «Термотехник» ТТ100 мощность 10 000 кВт</w:t>
      </w:r>
      <w:r>
        <w:rPr>
          <w:rFonts w:cs="Times New Roman"/>
          <w:b w:val="false"/>
          <w:bCs/>
          <w:i w:val="false"/>
          <w:strike w:val="false"/>
          <w:dstrike w:val="false"/>
          <w:color w:val="000000"/>
          <w:sz w:val="24"/>
          <w:szCs w:val="24"/>
          <w:u w:val="none"/>
          <w:lang w:val="ru-RU"/>
        </w:rPr>
        <w:t xml:space="preserve"> - трехходовой, водогрейный, газотрубный, мощностью 10000 кВт. 115С (или эквивалент, указать наименование) в комплекте (</w:t>
      </w:r>
      <w:r>
        <w:rPr>
          <w:rFonts w:cs="Times New Roman"/>
          <w:b w:val="false"/>
          <w:bCs w:val="false"/>
          <w:sz w:val="24"/>
          <w:szCs w:val="24"/>
          <w:lang w:val="ru-RU"/>
        </w:rPr>
        <w:t xml:space="preserve">для газовой котельной в 101 квартале </w:t>
      </w:r>
      <w:r>
        <w:rPr>
          <w:rFonts w:cs="Times New Roman"/>
          <w:b w:val="false"/>
          <w:bCs w:val="false"/>
          <w:sz w:val="24"/>
          <w:szCs w:val="24"/>
        </w:rPr>
        <w:t>г. Благовещенск, Амурская область)</w:t>
      </w:r>
    </w:p>
    <w:tbl>
      <w:tblPr>
        <w:tblStyle w:val="987"/>
        <w:tblW w:w="9921" w:type="dxa"/>
        <w:jc w:val="left"/>
        <w:tblInd w:w="113" w:type="dxa"/>
        <w:tblLayout w:type="fixed"/>
        <w:tblCellMar>
          <w:top w:w="55" w:type="dxa"/>
          <w:left w:w="108" w:type="dxa"/>
          <w:bottom w:w="55" w:type="dxa"/>
          <w:right w:w="108" w:type="dxa"/>
        </w:tblCellMar>
        <w:tblLook w:val="04a0" w:noHBand="0" w:noVBand="1" w:firstColumn="1" w:lastRow="0" w:lastColumn="0" w:firstRow="1"/>
      </w:tblPr>
      <w:tblGrid>
        <w:gridCol w:w="853"/>
        <w:gridCol w:w="2973"/>
        <w:gridCol w:w="1557"/>
        <w:gridCol w:w="1279"/>
        <w:gridCol w:w="1852"/>
        <w:gridCol w:w="1406"/>
      </w:tblGrid>
      <w:tr>
        <w:trPr/>
        <w:tc>
          <w:tcPr>
            <w:tcW w:w="853" w:type="dxa"/>
            <w:vMerge w:val="restart"/>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before="0" w:after="200"/>
              <w:jc w:val="center"/>
              <w:rPr>
                <w:sz w:val="18"/>
                <w:szCs w:val="18"/>
              </w:rPr>
            </w:pPr>
            <w:r>
              <w:rPr>
                <w:rFonts w:cs="Times New Roman"/>
                <w:b/>
                <w:bCs/>
                <w:i/>
                <w:kern w:val="0"/>
                <w:sz w:val="18"/>
                <w:szCs w:val="18"/>
                <w:lang w:val="ru-RU" w:bidi="ar-SA"/>
              </w:rPr>
              <w:t xml:space="preserve">№ </w:t>
            </w:r>
            <w:r>
              <w:rPr>
                <w:rFonts w:cs="Times New Roman"/>
                <w:b/>
                <w:bCs/>
                <w:i/>
                <w:kern w:val="0"/>
                <w:sz w:val="18"/>
                <w:szCs w:val="18"/>
                <w:lang w:val="ru-RU" w:bidi="ar-SA"/>
              </w:rPr>
              <w:t>п/п</w:t>
            </w:r>
          </w:p>
        </w:tc>
        <w:tc>
          <w:tcPr>
            <w:tcW w:w="2973" w:type="dxa"/>
            <w:vMerge w:val="restart"/>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before="0" w:after="200"/>
              <w:jc w:val="center"/>
              <w:rPr>
                <w:sz w:val="18"/>
                <w:szCs w:val="18"/>
              </w:rPr>
            </w:pPr>
            <w:r>
              <w:rPr>
                <w:rFonts w:cs="Times New Roman"/>
                <w:b/>
                <w:bCs/>
                <w:i/>
                <w:kern w:val="0"/>
                <w:sz w:val="18"/>
                <w:szCs w:val="18"/>
                <w:lang w:val="ru-RU" w:bidi="ar-SA"/>
              </w:rPr>
              <w:t>Наименование параметра (эквивалента)</w:t>
            </w:r>
          </w:p>
        </w:tc>
        <w:tc>
          <w:tcPr>
            <w:tcW w:w="1557" w:type="dxa"/>
            <w:vMerge w:val="restart"/>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before="0" w:afterAutospacing="0" w:after="0"/>
              <w:jc w:val="center"/>
              <w:rPr>
                <w:sz w:val="18"/>
                <w:szCs w:val="18"/>
              </w:rPr>
            </w:pPr>
            <w:r>
              <w:rPr>
                <w:rFonts w:cs="Times New Roman"/>
                <w:b/>
                <w:bCs/>
                <w:i/>
                <w:kern w:val="0"/>
                <w:sz w:val="18"/>
                <w:szCs w:val="18"/>
                <w:shd w:fill="auto" w:val="clear"/>
                <w:lang w:val="ru-RU" w:bidi="ar-SA"/>
              </w:rPr>
              <w:t>Значение параметра</w:t>
            </w:r>
          </w:p>
        </w:tc>
        <w:tc>
          <w:tcPr>
            <w:tcW w:w="3131" w:type="dxa"/>
            <w:gridSpan w:val="2"/>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center"/>
              <w:rPr>
                <w:sz w:val="18"/>
                <w:szCs w:val="18"/>
              </w:rPr>
            </w:pPr>
            <w:r>
              <w:rPr>
                <w:rFonts w:cs="Times New Roman"/>
                <w:b/>
                <w:bCs/>
                <w:i/>
                <w:iCs/>
                <w:kern w:val="0"/>
                <w:sz w:val="18"/>
                <w:szCs w:val="18"/>
                <w:lang w:val="ru-RU" w:bidi="ar-SA"/>
              </w:rPr>
              <w:t>Способ подтверждения участником соответствия требованиям</w:t>
            </w:r>
          </w:p>
        </w:tc>
        <w:tc>
          <w:tcPr>
            <w:tcW w:w="1406" w:type="dxa"/>
            <w:vMerge w:val="restart"/>
            <w:tcBorders>
              <w:top w:val="single" w:sz="4" w:space="0" w:color="000000"/>
              <w:left w:val="single" w:sz="4" w:space="0" w:color="000000"/>
              <w:bottom w:val="single" w:sz="4" w:space="0" w:color="000000"/>
            </w:tcBorders>
            <w:shd w:color="FFFFFF" w:fill="FFFFFF" w:themeFill="light1" w:val="clear"/>
            <w:vAlign w:val="center"/>
          </w:tcPr>
          <w:p>
            <w:pPr>
              <w:pStyle w:val="Normal"/>
              <w:widowControl w:val="false"/>
              <w:spacing w:lineRule="auto" w:line="240"/>
              <w:jc w:val="center"/>
              <w:rPr>
                <w:sz w:val="18"/>
                <w:szCs w:val="18"/>
              </w:rPr>
            </w:pPr>
            <w:r>
              <w:rPr>
                <w:rFonts w:cs="Times New Roman"/>
                <w:b/>
                <w:bCs/>
                <w:i/>
                <w:iCs/>
                <w:kern w:val="0"/>
                <w:sz w:val="18"/>
                <w:szCs w:val="18"/>
                <w:lang w:val="ru-RU" w:bidi="ar-SA"/>
              </w:rPr>
              <w:t>Предложение участника по характеристикам и параметрам</w:t>
            </w:r>
          </w:p>
          <w:p>
            <w:pPr>
              <w:pStyle w:val="Normal"/>
              <w:widowControl w:val="false"/>
              <w:spacing w:lineRule="auto" w:line="240"/>
              <w:jc w:val="left"/>
              <w:rPr>
                <w:i/>
                <w:i/>
                <w:sz w:val="18"/>
                <w:szCs w:val="18"/>
              </w:rPr>
            </w:pPr>
            <w:r>
              <w:rPr>
                <w:i/>
                <w:sz w:val="18"/>
                <w:szCs w:val="18"/>
              </w:rPr>
            </w:r>
          </w:p>
        </w:tc>
      </w:tr>
      <w:tr>
        <w:trPr/>
        <w:tc>
          <w:tcPr>
            <w:tcW w:w="853" w:type="dxa"/>
            <w:vMerge w:val="continue"/>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right"/>
              <w:rPr>
                <w:i/>
                <w:i/>
                <w:sz w:val="18"/>
                <w:szCs w:val="18"/>
              </w:rPr>
            </w:pPr>
            <w:r>
              <w:rPr>
                <w:i/>
                <w:sz w:val="18"/>
                <w:szCs w:val="18"/>
              </w:rPr>
            </w:r>
          </w:p>
        </w:tc>
        <w:tc>
          <w:tcPr>
            <w:tcW w:w="2973" w:type="dxa"/>
            <w:vMerge w:val="continue"/>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left"/>
              <w:rPr>
                <w:kern w:val="0"/>
                <w:sz w:val="18"/>
                <w:szCs w:val="18"/>
              </w:rPr>
            </w:pPr>
            <w:r>
              <w:rPr>
                <w:kern w:val="0"/>
                <w:sz w:val="18"/>
                <w:szCs w:val="18"/>
              </w:rPr>
            </w:r>
          </w:p>
        </w:tc>
        <w:tc>
          <w:tcPr>
            <w:tcW w:w="1557" w:type="dxa"/>
            <w:vMerge w:val="continue"/>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left"/>
              <w:rPr>
                <w:kern w:val="0"/>
                <w:sz w:val="18"/>
                <w:szCs w:val="18"/>
              </w:rPr>
            </w:pPr>
            <w:r>
              <w:rPr>
                <w:kern w:val="0"/>
                <w:sz w:val="18"/>
                <w:szCs w:val="18"/>
              </w:rPr>
            </w:r>
          </w:p>
        </w:tc>
        <w:tc>
          <w:tcPr>
            <w:tcW w:w="1279" w:type="dxa"/>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center"/>
              <w:rPr>
                <w:sz w:val="18"/>
                <w:szCs w:val="18"/>
              </w:rPr>
            </w:pPr>
            <w:r>
              <w:rPr>
                <w:rFonts w:cs="Times New Roman"/>
                <w:b/>
                <w:bCs/>
                <w:i/>
                <w:iCs/>
                <w:kern w:val="0"/>
                <w:sz w:val="18"/>
                <w:szCs w:val="18"/>
                <w:lang w:val="ru-RU" w:bidi="ar-SA"/>
              </w:rPr>
              <w:t>Согласие с требованием</w:t>
            </w:r>
          </w:p>
        </w:tc>
        <w:tc>
          <w:tcPr>
            <w:tcW w:w="1852" w:type="dxa"/>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center"/>
              <w:rPr>
                <w:sz w:val="18"/>
                <w:szCs w:val="18"/>
              </w:rPr>
            </w:pPr>
            <w:r>
              <w:rPr>
                <w:b/>
                <w:bCs/>
                <w:i/>
                <w:iCs/>
                <w:kern w:val="0"/>
                <w:sz w:val="18"/>
                <w:szCs w:val="18"/>
              </w:rPr>
              <w:t>Предоставление подтверждающего документа</w:t>
            </w:r>
          </w:p>
        </w:tc>
        <w:tc>
          <w:tcPr>
            <w:tcW w:w="1406" w:type="dxa"/>
            <w:vMerge w:val="continue"/>
            <w:tcBorders>
              <w:left w:val="single" w:sz="4" w:space="0" w:color="000000"/>
              <w:bottom w:val="single" w:sz="4" w:space="0" w:color="000000"/>
            </w:tcBorders>
            <w:shd w:color="FFFFFF" w:fill="FFFFFF" w:themeFill="light1" w:val="clear"/>
            <w:vAlign w:val="center"/>
          </w:tcPr>
          <w:p>
            <w:pPr>
              <w:pStyle w:val="Normal"/>
              <w:widowControl w:val="false"/>
              <w:spacing w:lineRule="auto" w:line="240"/>
              <w:rPr>
                <w:kern w:val="0"/>
                <w:sz w:val="18"/>
                <w:szCs w:val="18"/>
              </w:rPr>
            </w:pPr>
            <w:r>
              <w:rPr>
                <w:kern w:val="0"/>
                <w:sz w:val="18"/>
                <w:szCs w:val="18"/>
              </w:rPr>
            </w:r>
          </w:p>
        </w:tc>
      </w:tr>
      <w:tr>
        <w:trPr/>
        <w:tc>
          <w:tcPr>
            <w:tcW w:w="853" w:type="dxa"/>
            <w:tcBorders>
              <w:top w:val="single" w:sz="4" w:space="0" w:color="000000"/>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1</w:t>
            </w:r>
          </w:p>
        </w:tc>
        <w:tc>
          <w:tcPr>
            <w:tcW w:w="2973" w:type="dxa"/>
            <w:tcBorders>
              <w:top w:val="single" w:sz="4" w:space="0" w:color="000000"/>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2</w:t>
            </w:r>
          </w:p>
        </w:tc>
        <w:tc>
          <w:tcPr>
            <w:tcW w:w="1557" w:type="dxa"/>
            <w:tcBorders>
              <w:top w:val="single" w:sz="4" w:space="0" w:color="000000"/>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3</w:t>
            </w:r>
          </w:p>
        </w:tc>
        <w:tc>
          <w:tcPr>
            <w:tcW w:w="1279" w:type="dxa"/>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center"/>
              <w:rPr>
                <w:sz w:val="18"/>
                <w:szCs w:val="18"/>
              </w:rPr>
            </w:pPr>
            <w:r>
              <w:rPr>
                <w:rFonts w:cs="Times New Roman"/>
                <w:b/>
                <w:bCs/>
                <w:i w:val="false"/>
                <w:iCs w:val="false"/>
                <w:kern w:val="0"/>
                <w:sz w:val="18"/>
                <w:szCs w:val="18"/>
                <w:lang w:val="ru-RU" w:bidi="ar-SA"/>
              </w:rPr>
              <w:t>4</w:t>
            </w:r>
          </w:p>
        </w:tc>
        <w:tc>
          <w:tcPr>
            <w:tcW w:w="1852" w:type="dxa"/>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center"/>
              <w:rPr>
                <w:sz w:val="18"/>
                <w:szCs w:val="18"/>
              </w:rPr>
            </w:pPr>
            <w:r>
              <w:rPr>
                <w:b/>
                <w:bCs/>
                <w:i w:val="false"/>
                <w:iCs w:val="false"/>
                <w:kern w:val="0"/>
                <w:sz w:val="18"/>
                <w:szCs w:val="18"/>
              </w:rPr>
              <w:t>5</w:t>
            </w:r>
          </w:p>
        </w:tc>
        <w:tc>
          <w:tcPr>
            <w:tcW w:w="1406" w:type="dxa"/>
            <w:tcBorders>
              <w:top w:val="single" w:sz="4" w:space="0" w:color="000000"/>
              <w:left w:val="single" w:sz="4" w:space="0" w:color="000000"/>
              <w:bottom w:val="single" w:sz="4" w:space="0" w:color="000000"/>
            </w:tcBorders>
            <w:shd w:color="FFFFFF" w:fill="FFFFFF" w:themeFill="light1" w:val="clear"/>
            <w:vAlign w:val="center"/>
          </w:tcPr>
          <w:p>
            <w:pPr>
              <w:pStyle w:val="Normal"/>
              <w:widowControl w:val="false"/>
              <w:spacing w:lineRule="auto" w:line="240"/>
              <w:jc w:val="center"/>
              <w:rPr>
                <w:sz w:val="18"/>
                <w:szCs w:val="18"/>
              </w:rPr>
            </w:pPr>
            <w:r>
              <w:rPr>
                <w:b/>
                <w:bCs/>
                <w:i w:val="false"/>
                <w:iCs w:val="false"/>
                <w:kern w:val="0"/>
                <w:sz w:val="18"/>
                <w:szCs w:val="18"/>
              </w:rPr>
              <w:t>6</w:t>
            </w:r>
          </w:p>
        </w:tc>
      </w:tr>
      <w:tr>
        <w:trPr/>
        <w:tc>
          <w:tcPr>
            <w:tcW w:w="853" w:type="dxa"/>
            <w:tcBorders>
              <w:top w:val="single" w:sz="4" w:space="0" w:color="000000"/>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w:t>
            </w:r>
          </w:p>
        </w:tc>
        <w:tc>
          <w:tcPr>
            <w:tcW w:w="2973" w:type="dxa"/>
            <w:tcBorders>
              <w:top w:val="single" w:sz="4" w:space="0" w:color="000000"/>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Номинальная теплопроизводительность, МВт</w:t>
            </w:r>
          </w:p>
        </w:tc>
        <w:tc>
          <w:tcPr>
            <w:tcW w:w="1557" w:type="dxa"/>
            <w:tcBorders>
              <w:top w:val="single" w:sz="4" w:space="0" w:color="000000"/>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10</w:t>
            </w:r>
          </w:p>
        </w:tc>
        <w:tc>
          <w:tcPr>
            <w:tcW w:w="1279" w:type="dxa"/>
            <w:tcBorders>
              <w:top w:val="single" w:sz="4" w:space="0" w:color="000000"/>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top w:val="single" w:sz="4" w:space="0" w:color="000000"/>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top w:val="single" w:sz="4" w:space="0" w:color="000000"/>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2.</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Количество котлов, шт</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bidi="ar-SA"/>
              </w:rPr>
              <w:t>1</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количества</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3.</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Температура воды на выходе из котла, не более,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bidi="ar-SA"/>
              </w:rPr>
              <w:t>115</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4.</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Температура воды на входе в котёл, не менее,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60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5.</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Рабочее давление, МПа</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0,6</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6.</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Эксплуатационный КПД, не менее, % (без экономайзера)</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94</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7.</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0"/>
              <w:jc w:val="left"/>
              <w:rPr>
                <w:sz w:val="18"/>
                <w:szCs w:val="18"/>
              </w:rPr>
            </w:pPr>
            <w:r>
              <w:rPr>
                <w:rFonts w:cs="Times New Roman"/>
                <w:kern w:val="0"/>
                <w:sz w:val="18"/>
                <w:szCs w:val="18"/>
                <w:lang w:val="ru-RU" w:bidi="ar-SA"/>
              </w:rPr>
              <w:t xml:space="preserve">Температура уходящих газов при работе на природном газе (без экономайзера), не более,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146</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8.</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Диапазон регулирования теплопроизводительности,</w:t>
            </w:r>
            <w:r>
              <w:rPr>
                <w:rFonts w:cs="Times New Roman"/>
                <w:kern w:val="0"/>
                <w:sz w:val="18"/>
                <w:szCs w:val="18"/>
                <w:lang w:bidi="ar-SA"/>
              </w:rPr>
              <w:t xml:space="preserve"> </w:t>
            </w:r>
            <w:r>
              <w:rPr>
                <w:rFonts w:cs="Times New Roman"/>
                <w:kern w:val="0"/>
                <w:sz w:val="18"/>
                <w:szCs w:val="18"/>
                <w:lang w:val="ru-RU" w:bidi="ar-SA"/>
              </w:rPr>
              <w:t>%</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bidi="ar-SA"/>
              </w:rPr>
              <w:t>1</w:t>
            </w:r>
            <w:r>
              <w:rPr>
                <w:rFonts w:cs="Times New Roman"/>
                <w:kern w:val="0"/>
                <w:sz w:val="18"/>
                <w:szCs w:val="18"/>
                <w:highlight w:val="white"/>
                <w:lang w:val="ru-RU" w:bidi="ar-SA"/>
              </w:rPr>
              <w:t>0-100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9.</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Гидравлическое сопротивление, МПа, не более</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0,0</w:t>
            </w:r>
            <w:r>
              <w:rPr>
                <w:rFonts w:cs="Times New Roman"/>
                <w:kern w:val="0"/>
                <w:sz w:val="18"/>
                <w:szCs w:val="18"/>
                <w:highlight w:val="white"/>
                <w:lang w:bidi="ar-SA"/>
              </w:rPr>
              <w:t>1</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9.1</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Расход воды через котёл </w:t>
            </w:r>
            <w:r>
              <w:rPr>
                <w:rFonts w:cs="Times New Roman"/>
                <w:kern w:val="0"/>
                <w:sz w:val="18"/>
                <w:szCs w:val="18"/>
                <w:highlight w:val="white"/>
                <w:lang w:val="ru-RU" w:bidi="ar-SA"/>
              </w:rPr>
              <w:t>(</w:t>
            </w:r>
            <w:r>
              <w:rPr>
                <w:rFonts w:cs="Times New Roman"/>
                <w:kern w:val="0"/>
                <w:sz w:val="18"/>
                <w:szCs w:val="18"/>
                <w:highlight w:val="white"/>
                <w:lang w:bidi="ar-SA"/>
              </w:rPr>
              <w:t>min</w:t>
            </w:r>
            <w:r>
              <w:rPr>
                <w:rFonts w:cs="Times New Roman"/>
                <w:kern w:val="0"/>
                <w:sz w:val="18"/>
                <w:szCs w:val="18"/>
                <w:highlight w:val="white"/>
                <w:lang w:val="ru-RU" w:bidi="ar-SA"/>
              </w:rPr>
              <w:t>/</w:t>
            </w:r>
            <w:r>
              <w:rPr>
                <w:rFonts w:cs="Times New Roman"/>
                <w:kern w:val="0"/>
                <w:sz w:val="18"/>
                <w:szCs w:val="18"/>
                <w:highlight w:val="white"/>
                <w:lang w:bidi="ar-SA"/>
              </w:rPr>
              <w:t>max</w:t>
            </w:r>
            <w:r>
              <w:rPr>
                <w:rFonts w:cs="Times New Roman"/>
                <w:kern w:val="0"/>
                <w:sz w:val="18"/>
                <w:szCs w:val="18"/>
                <w:highlight w:val="white"/>
                <w:lang w:val="ru-RU" w:bidi="ar-SA"/>
              </w:rPr>
              <w:t>)</w:t>
            </w:r>
            <w:r>
              <w:rPr>
                <w:rFonts w:cs="Times New Roman"/>
                <w:kern w:val="0"/>
                <w:sz w:val="18"/>
                <w:szCs w:val="18"/>
                <w:lang w:val="ru-RU" w:bidi="ar-SA"/>
              </w:rPr>
              <w:t>, т/ч</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bidi="ar-SA"/>
              </w:rPr>
              <w:t>163/599</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10.</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Аэродинамическое сопротивление газового тракта котла, Па</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bidi="ar-SA"/>
              </w:rPr>
              <w:t>1290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11.</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Допустимый уровень звука, создаваемый оборудованием комплектной поставки на расстоянии одного метра от основного, вспомогательного оборудования и среза дымовой трубы, дБ, не более</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rFonts w:ascii="Times New Roman" w:hAnsi="Times New Roman" w:cs="Times New Roman"/>
                <w:sz w:val="18"/>
                <w:szCs w:val="18"/>
              </w:rPr>
            </w:pPr>
            <w:r>
              <w:rPr>
                <w:rFonts w:cs="Times New Roman"/>
                <w:sz w:val="18"/>
                <w:szCs w:val="18"/>
              </w:rPr>
            </w:r>
          </w:p>
          <w:p>
            <w:pPr>
              <w:pStyle w:val="Normal"/>
              <w:widowControl w:val="false"/>
              <w:spacing w:lineRule="auto" w:line="240" w:before="0" w:after="200"/>
              <w:jc w:val="center"/>
              <w:rPr>
                <w:sz w:val="18"/>
                <w:szCs w:val="18"/>
              </w:rPr>
            </w:pPr>
            <w:r>
              <w:rPr>
                <w:rFonts w:cs="Times New Roman"/>
                <w:kern w:val="0"/>
                <w:sz w:val="18"/>
                <w:szCs w:val="18"/>
                <w:lang w:val="ru-RU" w:bidi="ar-SA"/>
              </w:rPr>
              <w:t>80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12.</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highlight w:val="white"/>
                <w:lang w:val="ru-RU" w:bidi="ar-SA"/>
              </w:rPr>
              <w:t>Данные по котловой воде:</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color w:val="000000"/>
                <w:kern w:val="0"/>
                <w:sz w:val="18"/>
                <w:szCs w:val="18"/>
              </w:rPr>
              <w:t>-//-</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jc w:val="center"/>
              <w:rPr>
                <w:sz w:val="18"/>
                <w:szCs w:val="18"/>
              </w:rPr>
            </w:pPr>
            <w:r>
              <w:rPr>
                <w:b/>
                <w:kern w:val="0"/>
                <w:sz w:val="18"/>
                <w:szCs w:val="18"/>
              </w:rPr>
              <w:t>-//-</w:t>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12.1</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прозрачность по шрифту, см не менее</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30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12.2</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Карбонатная жёсткость, мкг-экв/кг, не более</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700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12.3</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растворённого кислорода, мкг/кг, не более</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50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12.4</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соединений железа (в пересчёте на Fe), мкг/кг, не более</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500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12.5</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 xml:space="preserve">значение рН при 25 </w:t>
            </w:r>
            <w:r>
              <w:rPr>
                <w:rFonts w:cs="Times New Roman"/>
                <w:kern w:val="0"/>
                <w:sz w:val="18"/>
                <w:szCs w:val="18"/>
                <w:highlight w:val="white"/>
                <w:vertAlign w:val="superscript"/>
                <w:lang w:val="ru-RU" w:bidi="ar-SA"/>
              </w:rPr>
              <w:t>о</w:t>
            </w:r>
            <w:r>
              <w:rPr>
                <w:rFonts w:cs="Times New Roman"/>
                <w:kern w:val="0"/>
                <w:sz w:val="18"/>
                <w:szCs w:val="18"/>
                <w:highlight w:val="white"/>
                <w:lang w:val="ru-RU" w:bidi="ar-SA"/>
              </w:rPr>
              <w:t>С</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7-11</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12.6</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свободная углекислота, мг/кг</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отсутствует</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12.7</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нефтепродуктов, мг/кг, не более</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highlight w:val="white"/>
                <w:lang w:val="ru-RU" w:bidi="ar-SA"/>
              </w:rPr>
              <w:t>Данные по конструкции:</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color w:val="000000"/>
                <w:kern w:val="0"/>
                <w:sz w:val="18"/>
                <w:szCs w:val="18"/>
              </w:rPr>
              <w:t>-//-</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jc w:val="center"/>
              <w:rPr>
                <w:sz w:val="18"/>
                <w:szCs w:val="18"/>
              </w:rPr>
            </w:pPr>
            <w:r>
              <w:rPr>
                <w:b/>
                <w:kern w:val="0"/>
                <w:sz w:val="18"/>
                <w:szCs w:val="18"/>
              </w:rPr>
              <w:t>-//-</w:t>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13.1</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тип котла</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Водогрейный. Жаротрубный, трёхходовой, под наддувом</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13.2</w:t>
            </w:r>
          </w:p>
        </w:tc>
        <w:tc>
          <w:tcPr>
            <w:tcW w:w="2973" w:type="dxa"/>
            <w:tcBorders>
              <w:left w:val="single" w:sz="4" w:space="0" w:color="000000"/>
              <w:bottom w:val="single" w:sz="4" w:space="0" w:color="000000"/>
              <w:right w:val="nil"/>
            </w:tcBorders>
            <w:shd w:fill="FFFFFF" w:val="clear"/>
          </w:tcPr>
          <w:p>
            <w:pPr>
              <w:pStyle w:val="ListBullet"/>
              <w:widowControl w:val="false"/>
              <w:numPr>
                <w:ilvl w:val="0"/>
                <w:numId w:val="0"/>
              </w:numPr>
              <w:spacing w:lineRule="auto" w:line="240" w:before="0" w:after="0"/>
              <w:ind w:left="0" w:hanging="0"/>
              <w:contextualSpacing/>
              <w:jc w:val="left"/>
              <w:rPr>
                <w:sz w:val="18"/>
                <w:szCs w:val="18"/>
              </w:rPr>
            </w:pPr>
            <w:r>
              <w:rPr>
                <w:rFonts w:cs="Times New Roman"/>
                <w:kern w:val="0"/>
                <w:sz w:val="18"/>
                <w:szCs w:val="18"/>
                <w:highlight w:val="white"/>
                <w:lang w:val="ru-RU" w:bidi="ar-SA"/>
              </w:rPr>
              <w:t>габаритные размеры (Д×Ш×В), не более, мм</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6296х2680х2900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13.3</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сухой вес котла, кг, не более</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0"/>
              <w:jc w:val="center"/>
              <w:rPr>
                <w:sz w:val="18"/>
                <w:szCs w:val="18"/>
              </w:rPr>
            </w:pPr>
            <w:r>
              <w:rPr>
                <w:rFonts w:cs="Times New Roman"/>
                <w:kern w:val="0"/>
                <w:sz w:val="18"/>
                <w:szCs w:val="18"/>
                <w:lang w:bidi="ar-SA"/>
              </w:rPr>
              <w:t>19 821</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13.4</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вес котла с водой, кг, не более</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0"/>
              <w:jc w:val="center"/>
              <w:rPr>
                <w:sz w:val="18"/>
                <w:szCs w:val="18"/>
              </w:rPr>
            </w:pPr>
            <w:r>
              <w:rPr>
                <w:rFonts w:cs="Times New Roman"/>
                <w:kern w:val="0"/>
                <w:sz w:val="18"/>
                <w:szCs w:val="18"/>
                <w:lang w:bidi="ar-SA"/>
              </w:rPr>
              <w:t>31 221</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13.5</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подача/обратка теплоносителя Ду, мм</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300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13.6</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предохранительные клапана Ду, мм</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125</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13.7</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диаметр дымохода Ду, мм, не менее</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0"/>
              <w:jc w:val="center"/>
              <w:rPr>
                <w:sz w:val="18"/>
                <w:szCs w:val="18"/>
              </w:rPr>
            </w:pPr>
            <w:r>
              <w:rPr>
                <w:rFonts w:cs="Times New Roman"/>
                <w:kern w:val="0"/>
                <w:sz w:val="18"/>
                <w:szCs w:val="18"/>
                <w:lang w:bidi="ar-SA"/>
              </w:rPr>
              <w:t>1000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97"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13.8</w:t>
            </w:r>
          </w:p>
        </w:tc>
        <w:tc>
          <w:tcPr>
            <w:tcW w:w="2973" w:type="dxa"/>
            <w:tcBorders>
              <w:left w:val="single" w:sz="4" w:space="0" w:color="000000"/>
              <w:bottom w:val="single" w:sz="4" w:space="0" w:color="000000"/>
              <w:right w:val="nil"/>
            </w:tcBorders>
            <w:shd w:fill="FFFFFF" w:val="clear"/>
          </w:tcPr>
          <w:p>
            <w:pPr>
              <w:pStyle w:val="ListBullet"/>
              <w:widowControl w:val="false"/>
              <w:numPr>
                <w:ilvl w:val="0"/>
                <w:numId w:val="0"/>
              </w:numPr>
              <w:spacing w:lineRule="auto" w:line="240" w:before="0" w:after="200"/>
              <w:ind w:left="0" w:hanging="0"/>
              <w:contextualSpacing/>
              <w:jc w:val="left"/>
              <w:rPr>
                <w:sz w:val="18"/>
                <w:szCs w:val="18"/>
              </w:rPr>
            </w:pPr>
            <w:r>
              <w:rPr>
                <w:rFonts w:cs="Times New Roman"/>
                <w:kern w:val="0"/>
                <w:sz w:val="18"/>
                <w:szCs w:val="18"/>
                <w:highlight w:val="white"/>
                <w:lang w:val="ru-RU" w:bidi="ar-SA"/>
              </w:rPr>
              <w:t xml:space="preserve">наличие заводского теплоизоляционного покрытия с потерями тепла не выше 0,5 % от </w:t>
            </w:r>
            <w:r>
              <w:rPr>
                <w:rFonts w:cs="Times New Roman"/>
                <w:kern w:val="0"/>
                <w:sz w:val="18"/>
                <w:szCs w:val="18"/>
                <w:highlight w:val="white"/>
                <w:lang w:bidi="ar-SA"/>
              </w:rPr>
              <w:t>Q</w:t>
            </w:r>
          </w:p>
        </w:tc>
        <w:tc>
          <w:tcPr>
            <w:tcW w:w="1557" w:type="dxa"/>
            <w:tcBorders>
              <w:left w:val="single" w:sz="4" w:space="0" w:color="000000"/>
              <w:bottom w:val="single" w:sz="4" w:space="0" w:color="000000"/>
              <w:right w:val="nil"/>
            </w:tcBorders>
            <w:shd w:fill="FFFFFF" w:val="clear"/>
          </w:tcPr>
          <w:p>
            <w:pPr>
              <w:pStyle w:val="ListBullet"/>
              <w:widowControl w:val="false"/>
              <w:numPr>
                <w:ilvl w:val="0"/>
                <w:numId w:val="0"/>
              </w:numPr>
              <w:spacing w:lineRule="auto" w:line="240" w:before="0" w:after="200"/>
              <w:ind w:left="0" w:hanging="0"/>
              <w:contextualSpacing/>
              <w:jc w:val="center"/>
              <w:rPr>
                <w:sz w:val="18"/>
                <w:szCs w:val="18"/>
              </w:rPr>
            </w:pPr>
            <w:r>
              <w:rPr>
                <w:rFonts w:cs="Times New Roman"/>
                <w:kern w:val="0"/>
                <w:sz w:val="18"/>
                <w:szCs w:val="18"/>
                <w:highlight w:val="white"/>
                <w:lang w:val="ru-RU" w:bidi="ar-SA"/>
              </w:rPr>
              <w:t>обязательно</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13.9</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полное открытие фронтальной дверцы без демонтажа горелки</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13.10</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визуальный осмотр через смотровой глазок и люки</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97"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13.11</w:t>
            </w:r>
          </w:p>
        </w:tc>
        <w:tc>
          <w:tcPr>
            <w:tcW w:w="2973" w:type="dxa"/>
            <w:tcBorders>
              <w:left w:val="single" w:sz="4" w:space="0" w:color="000000"/>
              <w:bottom w:val="single" w:sz="4" w:space="0" w:color="000000"/>
              <w:right w:val="nil"/>
            </w:tcBorders>
            <w:shd w:fill="FFFFFF" w:val="clear"/>
          </w:tcPr>
          <w:p>
            <w:pPr>
              <w:pStyle w:val="ListBullet"/>
              <w:widowControl w:val="false"/>
              <w:numPr>
                <w:ilvl w:val="0"/>
                <w:numId w:val="0"/>
              </w:numPr>
              <w:spacing w:lineRule="auto" w:line="240" w:before="0" w:after="200"/>
              <w:ind w:left="0" w:hanging="0"/>
              <w:contextualSpacing/>
              <w:jc w:val="left"/>
              <w:rPr>
                <w:sz w:val="18"/>
                <w:szCs w:val="18"/>
              </w:rPr>
            </w:pPr>
            <w:r>
              <w:rPr>
                <w:rFonts w:cs="Times New Roman"/>
                <w:kern w:val="0"/>
                <w:sz w:val="18"/>
                <w:szCs w:val="18"/>
                <w:highlight w:val="white"/>
                <w:lang w:val="ru-RU" w:bidi="ar-SA"/>
              </w:rPr>
              <w:t>жаровая труба — гладкостенная, полностью омываемая теплоносителем. Сталь 09Г2С</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13.12</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lang w:val="ru-RU" w:bidi="ar-SA"/>
              </w:rPr>
              <w:t>прочная база на стальных опорах, возможность установки без фундамента</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обязательно</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bidi="ar-SA"/>
              </w:rPr>
              <w:t>13.13</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слив воды с котла</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самослив</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shd w:fill="auto" w:val="clear"/>
                <w:lang w:bidi="ar-SA"/>
              </w:rPr>
              <w:t>13.14</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shd w:fill="auto" w:val="clear"/>
                <w:lang w:val="ru-RU" w:bidi="ar-SA"/>
              </w:rPr>
              <w:t xml:space="preserve">наличие двух торосферических днищ: в огневой камере    и корпусе котла </w:t>
            </w:r>
            <w:r>
              <w:rPr>
                <w:rFonts w:cs="Times New Roman"/>
                <w:color w:val="000000"/>
                <w:kern w:val="0"/>
                <w:sz w:val="18"/>
                <w:szCs w:val="18"/>
                <w:shd w:fill="auto" w:val="clear"/>
                <w:vertAlign w:val="superscript"/>
                <w:lang w:val="ru-RU" w:bidi="ar-SA"/>
              </w:rPr>
              <w:t>*)</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shd w:fill="auto" w:val="clear"/>
                <w:lang w:val="ru-RU" w:bidi="ar-SA"/>
              </w:rPr>
              <w:t>обязательно</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shd w:fill="auto" w:val="clear"/>
                <w:lang w:bidi="ar-SA"/>
              </w:rPr>
              <w:t>13.15</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shd w:fill="auto" w:val="clear"/>
                <w:lang w:val="ru-RU" w:bidi="ar-SA"/>
              </w:rPr>
              <w:t xml:space="preserve">многослойная теплоизоляция фронтальной двери котла с применением жаропрочного бетона и минераловатных материалов </w:t>
            </w:r>
            <w:r>
              <w:rPr>
                <w:rFonts w:cs="Times New Roman"/>
                <w:color w:val="000000"/>
                <w:kern w:val="0"/>
                <w:sz w:val="18"/>
                <w:szCs w:val="18"/>
                <w:shd w:fill="auto" w:val="clear"/>
                <w:vertAlign w:val="superscript"/>
                <w:lang w:val="ru-RU" w:bidi="ar-SA"/>
              </w:rPr>
              <w:t>**</w:t>
            </w:r>
            <w:r>
              <w:rPr>
                <w:rFonts w:cs="Times New Roman"/>
                <w:kern w:val="0"/>
                <w:sz w:val="18"/>
                <w:szCs w:val="18"/>
                <w:shd w:fill="auto" w:val="clear"/>
                <w:vertAlign w:val="superscript"/>
                <w:lang w:val="ru-RU" w:bidi="ar-SA"/>
              </w:rPr>
              <w:t>)</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shd w:fill="auto" w:val="clear"/>
                <w:lang w:val="ru-RU" w:bidi="ar-SA"/>
              </w:rPr>
              <w:t>обязательно</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bidi="ar-SA"/>
              </w:rPr>
              <w:t>14.</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Комплект поставки:</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полный</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jc w:val="center"/>
              <w:rPr>
                <w:sz w:val="18"/>
                <w:szCs w:val="18"/>
              </w:rPr>
            </w:pPr>
            <w:r>
              <w:rPr>
                <w:b/>
                <w:kern w:val="0"/>
                <w:sz w:val="18"/>
                <w:szCs w:val="18"/>
              </w:rPr>
              <w:t>-//-</w:t>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color w:val="000000"/>
              </w:rPr>
            </w:pPr>
            <w:r>
              <w:rPr>
                <w:rFonts w:cs="Times New Roman"/>
                <w:i/>
                <w:color w:val="000000"/>
                <w:kern w:val="0"/>
                <w:sz w:val="18"/>
                <w:szCs w:val="18"/>
                <w:lang w:bidi="ar-SA"/>
              </w:rPr>
              <w:t>14.1</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color w:val="000000"/>
                <w:sz w:val="18"/>
                <w:szCs w:val="18"/>
                <w:highlight w:val="none"/>
                <w:shd w:fill="auto" w:val="clear"/>
              </w:rPr>
            </w:pPr>
            <w:r>
              <w:rPr>
                <w:b w:val="false"/>
                <w:i w:val="false"/>
                <w:strike w:val="false"/>
                <w:dstrike w:val="false"/>
                <w:color w:val="000000"/>
                <w:kern w:val="0"/>
                <w:sz w:val="18"/>
                <w:szCs w:val="18"/>
                <w:u w:val="none"/>
                <w:shd w:fill="auto" w:val="clear"/>
              </w:rPr>
              <w:t xml:space="preserve"> </w:t>
            </w:r>
            <w:r>
              <w:rPr>
                <w:b w:val="false"/>
                <w:i w:val="false"/>
                <w:strike w:val="false"/>
                <w:dstrike w:val="false"/>
                <w:color w:val="000000"/>
                <w:kern w:val="0"/>
                <w:sz w:val="18"/>
                <w:szCs w:val="18"/>
                <w:u w:val="none"/>
                <w:shd w:fill="auto" w:val="clear"/>
              </w:rPr>
              <w:t>Котел — 1 комплект</w:t>
            </w:r>
          </w:p>
          <w:p>
            <w:pPr>
              <w:pStyle w:val="Normal"/>
              <w:widowControl w:val="false"/>
              <w:spacing w:lineRule="auto" w:line="240" w:before="0" w:after="200"/>
              <w:ind w:left="0" w:hanging="0"/>
              <w:jc w:val="left"/>
              <w:rPr>
                <w:color w:val="000000"/>
                <w:sz w:val="18"/>
                <w:szCs w:val="18"/>
                <w:highlight w:val="none"/>
                <w:shd w:fill="auto" w:val="clear"/>
              </w:rPr>
            </w:pPr>
            <w:r>
              <w:rPr>
                <w:b w:val="false"/>
                <w:i w:val="false"/>
                <w:strike w:val="false"/>
                <w:dstrike w:val="false"/>
                <w:color w:val="000000"/>
                <w:kern w:val="0"/>
                <w:sz w:val="18"/>
                <w:szCs w:val="18"/>
                <w:u w:val="none"/>
                <w:shd w:fill="auto" w:val="clear"/>
              </w:rPr>
              <w:t>с установленным оборудованием и приборами безопасности:</w:t>
            </w:r>
          </w:p>
          <w:p>
            <w:pPr>
              <w:pStyle w:val="Normal"/>
              <w:widowControl w:val="false"/>
              <w:spacing w:lineRule="auto" w:line="240" w:before="0" w:after="200"/>
              <w:ind w:left="0" w:hanging="0"/>
              <w:jc w:val="left"/>
              <w:rPr>
                <w:color w:val="000000"/>
                <w:sz w:val="18"/>
                <w:szCs w:val="18"/>
                <w:highlight w:val="none"/>
                <w:shd w:fill="auto" w:val="clear"/>
              </w:rPr>
            </w:pPr>
            <w:r>
              <w:rPr>
                <w:b w:val="false"/>
                <w:i w:val="false"/>
                <w:strike w:val="false"/>
                <w:dstrike w:val="false"/>
                <w:color w:val="000000"/>
                <w:kern w:val="0"/>
                <w:sz w:val="18"/>
                <w:szCs w:val="18"/>
                <w:u w:val="none"/>
                <w:shd w:fill="auto" w:val="clear"/>
              </w:rPr>
              <w:t>Фланец - 1 шт.</w:t>
            </w:r>
          </w:p>
          <w:p>
            <w:pPr>
              <w:pStyle w:val="Normal"/>
              <w:widowControl w:val="false"/>
              <w:spacing w:lineRule="auto" w:line="240" w:before="0" w:after="200"/>
              <w:ind w:left="0" w:hanging="0"/>
              <w:jc w:val="left"/>
              <w:rPr>
                <w:color w:val="000000"/>
                <w:sz w:val="18"/>
                <w:szCs w:val="18"/>
                <w:highlight w:val="none"/>
                <w:shd w:fill="auto" w:val="clear"/>
              </w:rPr>
            </w:pPr>
            <w:r>
              <w:rPr>
                <w:b w:val="false"/>
                <w:i w:val="false"/>
                <w:strike w:val="false"/>
                <w:dstrike w:val="false"/>
                <w:color w:val="000000"/>
                <w:kern w:val="0"/>
                <w:sz w:val="18"/>
                <w:szCs w:val="18"/>
                <w:u w:val="none"/>
                <w:shd w:fill="auto" w:val="clear"/>
              </w:rPr>
              <w:t>под горелку комбинированную (газ/диз.топливо) "Бернар" с выносным насосом диз.топлива. Под установку горелки на котле или эквивалент.</w:t>
            </w:r>
          </w:p>
          <w:p>
            <w:pPr>
              <w:pStyle w:val="Normal"/>
              <w:widowControl w:val="false"/>
              <w:spacing w:lineRule="auto" w:line="240"/>
              <w:jc w:val="left"/>
              <w:rPr>
                <w:color w:val="000000"/>
                <w:sz w:val="18"/>
                <w:szCs w:val="18"/>
                <w:highlight w:val="none"/>
                <w:shd w:fill="auto" w:val="clear"/>
              </w:rPr>
            </w:pPr>
            <w:r>
              <w:rPr>
                <w:b w:val="false"/>
                <w:i w:val="false"/>
                <w:strike w:val="false"/>
                <w:dstrike w:val="false"/>
                <w:color w:val="000000"/>
                <w:kern w:val="0"/>
                <w:sz w:val="18"/>
                <w:szCs w:val="18"/>
                <w:u w:val="none"/>
                <w:shd w:fill="auto" w:val="clear"/>
              </w:rPr>
              <w:t xml:space="preserve"> </w:t>
            </w:r>
            <w:r>
              <w:rPr>
                <w:b w:val="false"/>
                <w:i w:val="false"/>
                <w:strike w:val="false"/>
                <w:dstrike w:val="false"/>
                <w:color w:val="000000"/>
                <w:kern w:val="0"/>
                <w:sz w:val="18"/>
                <w:szCs w:val="18"/>
                <w:u w:val="none"/>
                <w:shd w:fill="auto" w:val="clear"/>
              </w:rPr>
              <w:t>Блок термостатов для водогрейного котла до 115С  для ЭНТРОМАТИК или эквивалент- 1 шт.</w:t>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sz w:val="18"/>
                <w:szCs w:val="18"/>
                <w:highlight w:val="none"/>
                <w:shd w:fill="auto" w:val="clear"/>
              </w:rPr>
            </w:pPr>
            <w:r>
              <w:rPr>
                <w:b w:val="false"/>
                <w:i w:val="false"/>
                <w:strike w:val="false"/>
                <w:dstrike w:val="false"/>
                <w:color w:val="000000"/>
                <w:kern w:val="0"/>
                <w:sz w:val="18"/>
                <w:szCs w:val="18"/>
                <w:u w:val="none"/>
                <w:shd w:fill="auto" w:val="clear"/>
              </w:rPr>
              <w:t>Гильза, ОВЕН или эквивалент- Защитная гильза нерж.сталь — 5 шт.</w:t>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sz w:val="18"/>
                <w:szCs w:val="18"/>
                <w:highlight w:val="none"/>
                <w:shd w:fill="auto" w:val="clear"/>
              </w:rPr>
            </w:pPr>
            <w:r>
              <w:rPr>
                <w:b w:val="false"/>
                <w:i w:val="false"/>
                <w:strike w:val="false"/>
                <w:dstrike w:val="false"/>
                <w:color w:val="000000"/>
                <w:kern w:val="0"/>
                <w:sz w:val="18"/>
                <w:szCs w:val="18"/>
                <w:u w:val="none"/>
                <w:shd w:fill="auto" w:val="clear"/>
              </w:rPr>
              <w:t>Термопреобразователь, ОВЕН или эквивалент - 2 шт.</w:t>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sz w:val="18"/>
                <w:szCs w:val="18"/>
                <w:highlight w:val="none"/>
                <w:shd w:fill="auto" w:val="clear"/>
              </w:rPr>
            </w:pPr>
            <w:r>
              <w:rPr>
                <w:b w:val="false"/>
                <w:i w:val="false"/>
                <w:strike w:val="false"/>
                <w:dstrike w:val="false"/>
                <w:color w:val="000000"/>
                <w:kern w:val="0"/>
                <w:sz w:val="18"/>
                <w:szCs w:val="18"/>
                <w:u w:val="none"/>
                <w:shd w:fill="auto" w:val="clear"/>
              </w:rPr>
              <w:t>Реле давления  РОСМА или эквивалент — 2 шт.</w:t>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sz w:val="18"/>
                <w:szCs w:val="18"/>
                <w:highlight w:val="none"/>
                <w:shd w:fill="auto" w:val="clear"/>
              </w:rPr>
            </w:pPr>
            <w:r>
              <w:rPr>
                <w:b w:val="false"/>
                <w:i w:val="false"/>
                <w:strike w:val="false"/>
                <w:dstrike w:val="false"/>
                <w:color w:val="000000"/>
                <w:kern w:val="0"/>
                <w:sz w:val="18"/>
                <w:szCs w:val="18"/>
                <w:u w:val="none"/>
                <w:shd w:fill="auto" w:val="clear"/>
              </w:rPr>
              <w:t>Автоматика ЭНТРОМАТИК  или эквивалент- система управления- 1 шт.</w:t>
            </w:r>
          </w:p>
          <w:p>
            <w:pPr>
              <w:pStyle w:val="Normal"/>
              <w:widowControl w:val="false"/>
              <w:spacing w:lineRule="auto" w:line="240"/>
              <w:jc w:val="left"/>
              <w:rPr>
                <w:rFonts w:ascii="Times New Roman" w:hAnsi="Times New Roman"/>
                <w:b w:val="false"/>
                <w:i w:val="false"/>
                <w:i w:val="false"/>
                <w:strike w:val="false"/>
                <w:dstrike w:val="false"/>
                <w:color w:val="000000"/>
                <w:kern w:val="0"/>
                <w:sz w:val="18"/>
                <w:szCs w:val="18"/>
                <w:highlight w:val="none"/>
                <w:u w:val="none"/>
                <w:shd w:fill="auto" w:val="clear"/>
              </w:rPr>
            </w:pPr>
            <w:r>
              <w:rPr>
                <w:b w:val="false"/>
                <w:i w:val="false"/>
                <w:strike w:val="false"/>
                <w:dstrike w:val="false"/>
                <w:color w:val="000000"/>
                <w:kern w:val="0"/>
                <w:sz w:val="18"/>
                <w:szCs w:val="18"/>
                <w:u w:val="none"/>
                <w:shd w:fill="auto" w:val="clear"/>
              </w:rPr>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rFonts w:cs="Times New Roman"/>
                <w:b w:val="false"/>
                <w:i w:val="false"/>
                <w:i w:val="false"/>
                <w:strike w:val="false"/>
                <w:dstrike w:val="false"/>
                <w:kern w:val="0"/>
                <w:u w:val="none"/>
              </w:rPr>
            </w:pPr>
            <w:r>
              <w:rPr>
                <w:rFonts w:cs="Times New Roman"/>
                <w:b w:val="false"/>
                <w:i w:val="false"/>
                <w:strike w:val="false"/>
                <w:dstrike w:val="false"/>
                <w:kern w:val="0"/>
                <w:u w:val="none"/>
              </w:rPr>
            </w:r>
          </w:p>
          <w:p>
            <w:pPr>
              <w:pStyle w:val="Normal"/>
              <w:widowControl w:val="false"/>
              <w:spacing w:lineRule="auto" w:line="240" w:before="0" w:after="200"/>
              <w:ind w:left="0" w:hanging="0"/>
              <w:jc w:val="left"/>
              <w:rPr>
                <w:rFonts w:cs="Times New Roman"/>
                <w:b w:val="false"/>
                <w:i w:val="false"/>
                <w:i w:val="false"/>
                <w:strike w:val="false"/>
                <w:dstrike w:val="false"/>
                <w:kern w:val="0"/>
                <w:u w:val="none"/>
              </w:rPr>
            </w:pPr>
            <w:r>
              <w:rPr>
                <w:rFonts w:cs="Times New Roman"/>
                <w:b w:val="false"/>
                <w:i w:val="false"/>
                <w:strike w:val="false"/>
                <w:dstrike w:val="false"/>
                <w:kern w:val="0"/>
                <w:u w:val="none"/>
              </w:rPr>
            </w:r>
          </w:p>
          <w:p>
            <w:pPr>
              <w:pStyle w:val="Normal"/>
              <w:widowControl w:val="false"/>
              <w:spacing w:lineRule="auto" w:line="240" w:before="0" w:after="200"/>
              <w:ind w:left="0" w:hanging="0"/>
              <w:jc w:val="left"/>
              <w:rPr>
                <w:color w:val="000000"/>
                <w:sz w:val="18"/>
                <w:szCs w:val="18"/>
                <w:highlight w:val="none"/>
                <w:shd w:fill="auto" w:val="clear"/>
              </w:rPr>
            </w:pPr>
            <w:r>
              <w:rPr>
                <w:rFonts w:cs="Times New Roman"/>
                <w:b w:val="false"/>
                <w:i w:val="false"/>
                <w:strike w:val="false"/>
                <w:dstrike w:val="false"/>
                <w:color w:val="000000"/>
                <w:kern w:val="0"/>
                <w:sz w:val="18"/>
                <w:szCs w:val="18"/>
                <w:u w:val="none"/>
                <w:shd w:fill="auto" w:val="clear"/>
              </w:rPr>
              <w:t>HRX2050MG.MD.S.RU.A.8.100.EI, Q=15,2 МВт,</w:t>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sz w:val="18"/>
                <w:szCs w:val="18"/>
                <w:highlight w:val="none"/>
                <w:shd w:fill="auto" w:val="clear"/>
              </w:rPr>
            </w:pPr>
            <w:r>
              <w:rPr>
                <w:rFonts w:cs="Times New Roman"/>
                <w:b w:val="false"/>
                <w:i w:val="false"/>
                <w:strike w:val="false"/>
                <w:dstrike w:val="false"/>
                <w:color w:val="000000"/>
                <w:kern w:val="0"/>
                <w:sz w:val="18"/>
                <w:szCs w:val="18"/>
                <w:u w:val="none"/>
                <w:shd w:fill="auto" w:val="clear"/>
              </w:rPr>
              <w:t>ТР 120</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rFonts w:cs="Times New Roman"/>
                <w:b w:val="false"/>
                <w:i w:val="false"/>
                <w:i w:val="false"/>
                <w:strike w:val="false"/>
                <w:dstrike w:val="false"/>
                <w:kern w:val="0"/>
                <w:u w:val="none"/>
              </w:rPr>
            </w:pPr>
            <w:r>
              <w:rPr>
                <w:rFonts w:cs="Times New Roman"/>
                <w:b w:val="false"/>
                <w:i w:val="false"/>
                <w:strike w:val="false"/>
                <w:dstrike w:val="false"/>
                <w:kern w:val="0"/>
                <w:u w:val="none"/>
              </w:rPr>
            </w:r>
          </w:p>
          <w:p>
            <w:pPr>
              <w:pStyle w:val="Normal"/>
              <w:widowControl w:val="false"/>
              <w:spacing w:lineRule="auto" w:line="240"/>
              <w:jc w:val="left"/>
              <w:rPr>
                <w:color w:val="000000"/>
                <w:sz w:val="18"/>
                <w:szCs w:val="18"/>
                <w:highlight w:val="none"/>
                <w:shd w:fill="auto" w:val="clear"/>
              </w:rPr>
            </w:pPr>
            <w:r>
              <w:rPr>
                <w:rFonts w:cs="Times New Roman"/>
                <w:b w:val="false"/>
                <w:i w:val="false"/>
                <w:strike w:val="false"/>
                <w:dstrike w:val="false"/>
                <w:color w:val="000000"/>
                <w:kern w:val="0"/>
                <w:sz w:val="18"/>
                <w:szCs w:val="18"/>
                <w:u w:val="none"/>
                <w:shd w:fill="auto" w:val="clear"/>
              </w:rPr>
              <w:t>ГЗ.16.3.3.200</w:t>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sz w:val="18"/>
                <w:szCs w:val="18"/>
                <w:highlight w:val="none"/>
                <w:shd w:fill="auto" w:val="clear"/>
              </w:rPr>
            </w:pPr>
            <w:r>
              <w:rPr>
                <w:rFonts w:cs="Times New Roman"/>
                <w:b w:val="false"/>
                <w:i w:val="false"/>
                <w:strike w:val="false"/>
                <w:dstrike w:val="false"/>
                <w:color w:val="000000"/>
                <w:kern w:val="0"/>
                <w:sz w:val="18"/>
                <w:szCs w:val="18"/>
                <w:u w:val="none"/>
                <w:shd w:fill="auto" w:val="clear"/>
              </w:rPr>
              <w:t>ДТС024-РТ1000.В2.30/1</w:t>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sz w:val="18"/>
                <w:szCs w:val="18"/>
                <w:highlight w:val="none"/>
                <w:shd w:fill="auto" w:val="clear"/>
              </w:rPr>
            </w:pPr>
            <w:r>
              <w:rPr>
                <w:rFonts w:cs="Times New Roman"/>
                <w:b w:val="false"/>
                <w:i w:val="false"/>
                <w:strike w:val="false"/>
                <w:dstrike w:val="false"/>
                <w:color w:val="000000"/>
                <w:kern w:val="0"/>
                <w:sz w:val="18"/>
                <w:szCs w:val="18"/>
                <w:u w:val="none"/>
                <w:shd w:fill="auto" w:val="clear"/>
              </w:rPr>
              <w:t>РД-2Р модель 35, (-0,2...0,8 Мпа) G1/2-</w:t>
            </w:r>
          </w:p>
          <w:p>
            <w:pPr>
              <w:pStyle w:val="Normal"/>
              <w:widowControl w:val="false"/>
              <w:spacing w:lineRule="auto" w:line="240"/>
              <w:jc w:val="left"/>
              <w:rPr>
                <w:color w:val="000000"/>
                <w:kern w:val="0"/>
                <w:sz w:val="18"/>
                <w:szCs w:val="18"/>
                <w:highlight w:val="none"/>
                <w:shd w:fill="auto" w:val="clear"/>
              </w:rPr>
            </w:pPr>
            <w:r>
              <w:rPr>
                <w:color w:val="000000"/>
                <w:kern w:val="0"/>
                <w:sz w:val="18"/>
                <w:szCs w:val="18"/>
                <w:shd w:fill="auto" w:val="clear"/>
              </w:rPr>
            </w:r>
          </w:p>
          <w:p>
            <w:pPr>
              <w:pStyle w:val="Normal"/>
              <w:widowControl w:val="false"/>
              <w:spacing w:lineRule="auto" w:line="240"/>
              <w:jc w:val="left"/>
              <w:rPr>
                <w:color w:val="000000"/>
                <w:sz w:val="18"/>
                <w:szCs w:val="18"/>
                <w:highlight w:val="none"/>
                <w:shd w:fill="auto" w:val="clear"/>
              </w:rPr>
            </w:pPr>
            <w:r>
              <w:rPr>
                <w:rFonts w:cs="Times New Roman"/>
                <w:b w:val="false"/>
                <w:i w:val="false"/>
                <w:strike w:val="false"/>
                <w:dstrike w:val="false"/>
                <w:color w:val="000000"/>
                <w:kern w:val="0"/>
                <w:sz w:val="18"/>
                <w:szCs w:val="18"/>
                <w:u w:val="none"/>
                <w:shd w:fill="auto" w:val="clear"/>
              </w:rPr>
              <w:t>120MS</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наименования, характеристик, количества</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color w:val="000000"/>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bidi="ar-SA"/>
              </w:rPr>
              <w:t>14.2</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lang w:val="ru-RU" w:bidi="ar-SA"/>
              </w:rPr>
              <w:t>эксплуатационная документация</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kern w:val="0"/>
                <w:sz w:val="18"/>
                <w:szCs w:val="18"/>
              </w:rPr>
              <w:t>наличие</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val="false"/>
                <w:bCs w:val="false"/>
                <w:color w:val="000000"/>
                <w:kern w:val="0"/>
                <w:sz w:val="18"/>
                <w:szCs w:val="18"/>
              </w:rPr>
              <w:t>Согласие с требованием</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color w:val="000000"/>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15.</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Требования по надёжности:</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color w:val="000000"/>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color w:val="000000"/>
                <w:sz w:val="18"/>
                <w:szCs w:val="18"/>
              </w:rPr>
              <w:t>-//-</w:t>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bidi="ar-SA"/>
              </w:rPr>
              <w:t>15.1</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Назначенный ресурс, не менее, ч</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200 000</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bidi="ar-SA"/>
              </w:rPr>
              <w:t>15.2</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Назначенный срок службы, не менее, лет</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25</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r>
        <w:trPr>
          <w:trHeight w:val="476" w:hRule="atLeast"/>
        </w:trPr>
        <w:tc>
          <w:tcPr>
            <w:tcW w:w="853"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i/>
                <w:kern w:val="0"/>
                <w:sz w:val="18"/>
                <w:szCs w:val="18"/>
                <w:lang w:val="ru-RU" w:bidi="ar-SA"/>
              </w:rPr>
              <w:t>15.3</w:t>
            </w:r>
          </w:p>
        </w:tc>
        <w:tc>
          <w:tcPr>
            <w:tcW w:w="2973"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Количество пусков из холодного состояния</w:t>
            </w:r>
          </w:p>
        </w:tc>
        <w:tc>
          <w:tcPr>
            <w:tcW w:w="1557" w:type="dxa"/>
            <w:tcBorders>
              <w:left w:val="single" w:sz="4" w:space="0" w:color="000000"/>
              <w:bottom w:val="single" w:sz="4" w:space="0" w:color="000000"/>
              <w:right w:val="nil"/>
            </w:tcBorders>
            <w:shd w:fill="FFFFFF" w:val="clear"/>
          </w:tcPr>
          <w:p>
            <w:pPr>
              <w:pStyle w:val="Normal"/>
              <w:widowControl w:val="false"/>
              <w:spacing w:lineRule="auto" w:line="240" w:before="0" w:after="0"/>
              <w:jc w:val="center"/>
              <w:rPr>
                <w:sz w:val="18"/>
                <w:szCs w:val="18"/>
              </w:rPr>
            </w:pPr>
            <w:r>
              <w:rPr>
                <w:rFonts w:cs="Times New Roman"/>
                <w:kern w:val="0"/>
                <w:sz w:val="18"/>
                <w:szCs w:val="18"/>
                <w:lang w:val="ru-RU" w:bidi="ar-SA"/>
              </w:rPr>
              <w:t>Не ограничено</w:t>
            </w:r>
          </w:p>
        </w:tc>
        <w:tc>
          <w:tcPr>
            <w:tcW w:w="1279"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val="false"/>
                <w:bCs w:val="false"/>
                <w:color w:val="000000"/>
                <w:kern w:val="0"/>
                <w:sz w:val="18"/>
                <w:szCs w:val="18"/>
              </w:rPr>
              <w:t>Согласие с требованием</w:t>
            </w:r>
          </w:p>
        </w:tc>
        <w:tc>
          <w:tcPr>
            <w:tcW w:w="1852" w:type="dxa"/>
            <w:tcBorders>
              <w:left w:val="single" w:sz="4" w:space="0" w:color="000000"/>
              <w:bottom w:val="single" w:sz="4" w:space="0" w:color="000000"/>
              <w:right w:val="nil"/>
            </w:tcBorders>
            <w:shd w:fill="FFFFFF" w:val="clear"/>
          </w:tcPr>
          <w:p>
            <w:pPr>
              <w:pStyle w:val="Normal"/>
              <w:widowControl w:val="false"/>
              <w:spacing w:lineRule="auto" w:line="240"/>
              <w:jc w:val="center"/>
              <w:rPr>
                <w:sz w:val="18"/>
                <w:szCs w:val="18"/>
              </w:rPr>
            </w:pPr>
            <w:r>
              <w:rPr>
                <w:b/>
                <w:kern w:val="0"/>
                <w:sz w:val="18"/>
                <w:szCs w:val="18"/>
              </w:rPr>
              <w:t>-//-</w:t>
            </w:r>
          </w:p>
        </w:tc>
        <w:tc>
          <w:tcPr>
            <w:tcW w:w="1406" w:type="dxa"/>
            <w:tcBorders>
              <w:left w:val="single" w:sz="4" w:space="0" w:color="000000"/>
              <w:bottom w:val="single" w:sz="4" w:space="0" w:color="000000"/>
            </w:tcBorders>
            <w:shd w:fill="FFFFFF" w:val="clear"/>
          </w:tcPr>
          <w:p>
            <w:pPr>
              <w:pStyle w:val="Normal"/>
              <w:widowControl w:val="false"/>
              <w:spacing w:lineRule="auto" w:line="240"/>
              <w:rPr>
                <w:b/>
                <w:sz w:val="18"/>
                <w:szCs w:val="18"/>
              </w:rPr>
            </w:pPr>
            <w:r>
              <w:rPr>
                <w:b/>
                <w:sz w:val="18"/>
                <w:szCs w:val="18"/>
              </w:rPr>
            </w:r>
          </w:p>
        </w:tc>
      </w:tr>
    </w:tbl>
    <w:p>
      <w:pPr>
        <w:pStyle w:val="Normal"/>
        <w:spacing w:lineRule="auto" w:line="240" w:before="0" w:after="0"/>
        <w:ind w:left="0" w:hanging="0"/>
        <w:jc w:val="both"/>
        <w:rPr>
          <w:rFonts w:ascii="Times New Roman" w:hAnsi="Times New Roman"/>
          <w:sz w:val="24"/>
          <w:szCs w:val="24"/>
          <w:highlight w:val="none"/>
        </w:rPr>
      </w:pPr>
      <w:r>
        <w:rPr>
          <w:sz w:val="24"/>
          <w:szCs w:val="24"/>
        </w:rPr>
      </w:r>
    </w:p>
    <w:p>
      <w:pPr>
        <w:pStyle w:val="Normal"/>
        <w:spacing w:lineRule="auto" w:line="240" w:before="0" w:after="0"/>
        <w:ind w:left="0" w:hanging="0"/>
        <w:jc w:val="both"/>
        <w:rPr>
          <w:rFonts w:cs="Times New Roman"/>
          <w:sz w:val="22"/>
          <w:szCs w:val="22"/>
          <w:highlight w:val="none"/>
          <w:lang w:val="ru-RU"/>
        </w:rPr>
      </w:pPr>
      <w:r>
        <w:rPr>
          <w:rFonts w:cs="Times New Roman"/>
          <w:sz w:val="22"/>
          <w:szCs w:val="22"/>
          <w:lang w:val="ru-RU"/>
        </w:rPr>
      </w:r>
    </w:p>
    <w:p>
      <w:pPr>
        <w:pStyle w:val="Normal"/>
        <w:spacing w:lineRule="auto" w:line="240" w:before="0" w:after="0"/>
        <w:ind w:left="0" w:hanging="0"/>
        <w:jc w:val="both"/>
        <w:rPr>
          <w:rFonts w:cs="Times New Roman"/>
          <w:sz w:val="22"/>
          <w:szCs w:val="22"/>
          <w:highlight w:val="none"/>
          <w:lang w:val="ru-RU"/>
        </w:rPr>
      </w:pPr>
      <w:r>
        <w:rPr>
          <w:rFonts w:cs="Times New Roman"/>
          <w:sz w:val="22"/>
          <w:szCs w:val="22"/>
          <w:lang w:val="ru-RU"/>
        </w:rPr>
      </w:r>
    </w:p>
    <w:p>
      <w:pPr>
        <w:pStyle w:val="Normal"/>
        <w:spacing w:lineRule="auto" w:line="240" w:before="0" w:after="0"/>
        <w:ind w:left="0" w:hanging="0"/>
        <w:jc w:val="both"/>
        <w:rPr>
          <w:rFonts w:cs="Times New Roman"/>
          <w:sz w:val="22"/>
          <w:szCs w:val="22"/>
          <w:highlight w:val="none"/>
          <w:lang w:val="ru-RU"/>
        </w:rPr>
      </w:pPr>
      <w:r>
        <w:rPr>
          <w:rFonts w:cs="Times New Roman"/>
          <w:sz w:val="22"/>
          <w:szCs w:val="22"/>
          <w:lang w:val="ru-RU"/>
        </w:rPr>
      </w:r>
    </w:p>
    <w:p>
      <w:pPr>
        <w:pStyle w:val="Normal"/>
        <w:spacing w:lineRule="auto" w:line="240" w:before="0" w:after="0"/>
        <w:ind w:left="0" w:hanging="0"/>
        <w:jc w:val="both"/>
        <w:rPr>
          <w:rFonts w:cs="Times New Roman"/>
          <w:sz w:val="22"/>
          <w:szCs w:val="22"/>
          <w:highlight w:val="none"/>
          <w:lang w:val="ru-RU"/>
        </w:rPr>
      </w:pPr>
      <w:r>
        <w:rPr>
          <w:rFonts w:cs="Times New Roman"/>
          <w:sz w:val="22"/>
          <w:szCs w:val="22"/>
          <w:lang w:val="ru-RU"/>
        </w:rPr>
      </w:r>
    </w:p>
    <w:p>
      <w:pPr>
        <w:pStyle w:val="Normal"/>
        <w:spacing w:lineRule="auto" w:line="240" w:before="0" w:after="0"/>
        <w:ind w:left="0" w:hanging="0"/>
        <w:jc w:val="both"/>
        <w:rPr>
          <w:rFonts w:cs="Times New Roman"/>
          <w:sz w:val="22"/>
          <w:szCs w:val="22"/>
          <w:highlight w:val="none"/>
          <w:lang w:val="ru-RU"/>
        </w:rPr>
      </w:pPr>
      <w:r>
        <w:rPr>
          <w:rFonts w:cs="Times New Roman"/>
          <w:sz w:val="22"/>
          <w:szCs w:val="22"/>
          <w:lang w:val="ru-RU"/>
        </w:rPr>
      </w:r>
    </w:p>
    <w:p>
      <w:pPr>
        <w:pStyle w:val="Normal"/>
        <w:spacing w:lineRule="auto" w:line="240" w:before="0" w:after="0"/>
        <w:ind w:left="0" w:hanging="0"/>
        <w:jc w:val="both"/>
        <w:rPr>
          <w:rFonts w:cs="Times New Roman"/>
          <w:sz w:val="22"/>
          <w:szCs w:val="22"/>
          <w:highlight w:val="none"/>
          <w:lang w:val="ru-RU"/>
        </w:rPr>
      </w:pPr>
      <w:r>
        <w:rPr>
          <w:rFonts w:cs="Times New Roman"/>
          <w:sz w:val="22"/>
          <w:szCs w:val="22"/>
          <w:lang w:val="ru-RU"/>
        </w:rPr>
      </w:r>
    </w:p>
    <w:p>
      <w:pPr>
        <w:pStyle w:val="Normal"/>
        <w:spacing w:lineRule="auto" w:line="240" w:before="0" w:after="0"/>
        <w:ind w:left="0" w:hanging="0"/>
        <w:jc w:val="both"/>
        <w:rPr>
          <w:rFonts w:cs="Times New Roman"/>
          <w:sz w:val="22"/>
          <w:szCs w:val="22"/>
          <w:highlight w:val="none"/>
          <w:lang w:val="ru-RU"/>
        </w:rPr>
      </w:pPr>
      <w:r>
        <w:rPr>
          <w:rFonts w:cs="Times New Roman"/>
          <w:sz w:val="22"/>
          <w:szCs w:val="22"/>
          <w:lang w:val="ru-RU"/>
        </w:rPr>
      </w:r>
    </w:p>
    <w:p>
      <w:pPr>
        <w:pStyle w:val="Normal"/>
        <w:spacing w:lineRule="auto" w:line="240" w:before="0" w:after="0"/>
        <w:ind w:left="0" w:hanging="0"/>
        <w:jc w:val="both"/>
        <w:rPr>
          <w:rFonts w:cs="Times New Roman"/>
          <w:sz w:val="22"/>
          <w:szCs w:val="22"/>
          <w:highlight w:val="none"/>
          <w:lang w:val="ru-RU"/>
        </w:rPr>
      </w:pPr>
      <w:r>
        <w:rPr>
          <w:rFonts w:cs="Times New Roman"/>
          <w:sz w:val="22"/>
          <w:szCs w:val="22"/>
          <w:lang w:val="ru-RU"/>
        </w:rPr>
      </w:r>
    </w:p>
    <w:p>
      <w:pPr>
        <w:pStyle w:val="Normal"/>
        <w:spacing w:lineRule="auto" w:line="240" w:before="0" w:after="0"/>
        <w:ind w:left="0" w:hanging="0"/>
        <w:jc w:val="both"/>
        <w:rPr>
          <w:rFonts w:cs="Times New Roman"/>
          <w:sz w:val="22"/>
          <w:szCs w:val="22"/>
          <w:highlight w:val="none"/>
          <w:lang w:val="ru-RU"/>
        </w:rPr>
      </w:pPr>
      <w:r>
        <w:rPr>
          <w:rFonts w:cs="Times New Roman"/>
          <w:sz w:val="22"/>
          <w:szCs w:val="22"/>
          <w:lang w:val="ru-RU"/>
        </w:rPr>
      </w:r>
    </w:p>
    <w:p>
      <w:pPr>
        <w:pStyle w:val="Normal"/>
        <w:spacing w:lineRule="auto" w:line="240" w:before="0" w:after="0"/>
        <w:ind w:left="0" w:hanging="0"/>
        <w:jc w:val="both"/>
        <w:rPr>
          <w:rFonts w:cs="Times New Roman"/>
          <w:sz w:val="22"/>
          <w:szCs w:val="22"/>
          <w:highlight w:val="none"/>
          <w:lang w:val="ru-RU"/>
        </w:rPr>
      </w:pPr>
      <w:r>
        <w:rPr>
          <w:rFonts w:cs="Times New Roman"/>
          <w:sz w:val="22"/>
          <w:szCs w:val="22"/>
          <w:lang w:val="ru-RU"/>
        </w:rPr>
      </w:r>
    </w:p>
    <w:p>
      <w:pPr>
        <w:pStyle w:val="Normal"/>
        <w:spacing w:lineRule="auto" w:line="240" w:before="0" w:after="0"/>
        <w:jc w:val="left"/>
        <w:rPr>
          <w:sz w:val="24"/>
          <w:szCs w:val="24"/>
          <w:highlight w:val="none"/>
        </w:rPr>
      </w:pPr>
      <w:r>
        <w:rPr>
          <w:rFonts w:cs="Times New Roman"/>
          <w:b/>
          <w:bCs/>
          <w:sz w:val="24"/>
          <w:szCs w:val="24"/>
          <w:lang w:val="ru-RU"/>
        </w:rPr>
        <w:t xml:space="preserve">6.2. </w:t>
      </w:r>
      <w:r>
        <w:rPr>
          <w:rFonts w:eastAsia="Times New Roman" w:cs="Times New Roman"/>
          <w:b w:val="false"/>
          <w:bCs/>
          <w:i w:val="false"/>
          <w:strike w:val="false"/>
          <w:dstrike w:val="false"/>
          <w:color w:val="000000"/>
          <w:position w:val="0"/>
          <w:sz w:val="24"/>
          <w:sz w:val="24"/>
          <w:szCs w:val="24"/>
          <w:u w:val="single"/>
          <w:vertAlign w:val="baseline"/>
          <w:lang w:val="ru-RU"/>
        </w:rPr>
        <w:t>Котел «Термотехник» ТТ100 мощность 13 000 кВт</w:t>
      </w:r>
      <w:r>
        <w:rPr>
          <w:rFonts w:eastAsia="Times New Roman" w:cs="Times New Roman"/>
          <w:b w:val="false"/>
          <w:bCs/>
          <w:i w:val="false"/>
          <w:strike w:val="false"/>
          <w:dstrike w:val="false"/>
          <w:color w:val="000000"/>
          <w:position w:val="0"/>
          <w:sz w:val="24"/>
          <w:sz w:val="24"/>
          <w:szCs w:val="24"/>
          <w:u w:val="none"/>
          <w:vertAlign w:val="baseline"/>
          <w:lang w:val="ru-RU"/>
        </w:rPr>
        <w:t>- трехходовой, водогрейный, газотрубный, мощностью 13 000 кВт. 115С (или эквивалент, указать наименование) в комплекте</w:t>
      </w:r>
      <w:r>
        <w:rPr>
          <w:rFonts w:cs="Times New Roman"/>
          <w:b/>
          <w:bCs/>
          <w:sz w:val="24"/>
          <w:szCs w:val="24"/>
          <w:lang w:val="ru-RU"/>
        </w:rPr>
        <w:t xml:space="preserve"> (</w:t>
      </w:r>
      <w:r>
        <w:rPr>
          <w:rFonts w:cs="Times New Roman"/>
          <w:b w:val="false"/>
          <w:bCs w:val="false"/>
          <w:sz w:val="24"/>
          <w:szCs w:val="24"/>
          <w:lang w:val="ru-RU"/>
        </w:rPr>
        <w:t xml:space="preserve">для газовой котельной в 101 квартале </w:t>
      </w:r>
      <w:r>
        <w:rPr>
          <w:rFonts w:cs="Times New Roman"/>
          <w:b w:val="false"/>
          <w:bCs w:val="false"/>
          <w:sz w:val="24"/>
          <w:szCs w:val="24"/>
        </w:rPr>
        <w:t>г. Благовещенск, Амурская область)</w:t>
      </w:r>
    </w:p>
    <w:p>
      <w:pPr>
        <w:pStyle w:val="Normal"/>
        <w:spacing w:lineRule="auto" w:line="240" w:before="0" w:after="0"/>
        <w:ind w:left="0" w:hanging="0"/>
        <w:jc w:val="both"/>
        <w:rPr>
          <w:rFonts w:cs="Times New Roman"/>
          <w:sz w:val="22"/>
          <w:szCs w:val="22"/>
          <w:highlight w:val="none"/>
          <w:lang w:val="ru-RU"/>
        </w:rPr>
      </w:pPr>
      <w:r>
        <w:rPr>
          <w:rFonts w:cs="Times New Roman"/>
          <w:sz w:val="22"/>
          <w:szCs w:val="22"/>
          <w:lang w:val="ru-RU"/>
        </w:rPr>
      </w:r>
    </w:p>
    <w:tbl>
      <w:tblPr>
        <w:tblStyle w:val="987"/>
        <w:tblW w:w="9876" w:type="dxa"/>
        <w:jc w:val="right"/>
        <w:tblInd w:w="0" w:type="dxa"/>
        <w:tblLayout w:type="fixed"/>
        <w:tblCellMar>
          <w:top w:w="55" w:type="dxa"/>
          <w:left w:w="108" w:type="dxa"/>
          <w:bottom w:w="55" w:type="dxa"/>
          <w:right w:w="108" w:type="dxa"/>
        </w:tblCellMar>
        <w:tblLook w:val="04a0" w:noHBand="0" w:noVBand="1" w:firstColumn="1" w:lastRow="0" w:lastColumn="0" w:firstRow="1"/>
      </w:tblPr>
      <w:tblGrid>
        <w:gridCol w:w="796"/>
        <w:gridCol w:w="2981"/>
        <w:gridCol w:w="1566"/>
        <w:gridCol w:w="1275"/>
        <w:gridCol w:w="1866"/>
        <w:gridCol w:w="1391"/>
      </w:tblGrid>
      <w:tr>
        <w:trPr/>
        <w:tc>
          <w:tcPr>
            <w:tcW w:w="796" w:type="dxa"/>
            <w:vMerge w:val="restart"/>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before="0" w:after="200"/>
              <w:jc w:val="center"/>
              <w:rPr>
                <w:sz w:val="18"/>
                <w:szCs w:val="18"/>
              </w:rPr>
            </w:pPr>
            <w:r>
              <w:rPr>
                <w:rFonts w:cs="Times New Roman"/>
                <w:b/>
                <w:bCs/>
                <w:i/>
                <w:kern w:val="0"/>
                <w:sz w:val="18"/>
                <w:szCs w:val="18"/>
                <w:lang w:val="ru-RU" w:bidi="ar-SA"/>
              </w:rPr>
              <w:t xml:space="preserve">№ </w:t>
            </w:r>
            <w:r>
              <w:rPr>
                <w:rFonts w:cs="Times New Roman"/>
                <w:b/>
                <w:bCs/>
                <w:i/>
                <w:kern w:val="0"/>
                <w:sz w:val="18"/>
                <w:szCs w:val="18"/>
                <w:lang w:val="ru-RU" w:bidi="ar-SA"/>
              </w:rPr>
              <w:t>п/п</w:t>
            </w:r>
          </w:p>
          <w:p>
            <w:pPr>
              <w:pStyle w:val="Normal"/>
              <w:widowControl w:val="false"/>
              <w:spacing w:lineRule="auto" w:line="240"/>
              <w:jc w:val="right"/>
              <w:rPr>
                <w:i/>
                <w:i/>
                <w:sz w:val="18"/>
                <w:szCs w:val="18"/>
              </w:rPr>
            </w:pPr>
            <w:r>
              <w:rPr>
                <w:i/>
                <w:sz w:val="18"/>
                <w:szCs w:val="18"/>
              </w:rPr>
            </w:r>
          </w:p>
        </w:tc>
        <w:tc>
          <w:tcPr>
            <w:tcW w:w="2981" w:type="dxa"/>
            <w:vMerge w:val="restart"/>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before="0" w:after="200"/>
              <w:jc w:val="center"/>
              <w:rPr>
                <w:sz w:val="18"/>
                <w:szCs w:val="18"/>
              </w:rPr>
            </w:pPr>
            <w:r>
              <w:rPr>
                <w:rFonts w:cs="Times New Roman"/>
                <w:b/>
                <w:bCs/>
                <w:i/>
                <w:kern w:val="0"/>
                <w:sz w:val="18"/>
                <w:szCs w:val="18"/>
                <w:lang w:val="ru-RU" w:bidi="ar-SA"/>
              </w:rPr>
              <w:t>Наименование параметра</w:t>
            </w:r>
          </w:p>
          <w:p>
            <w:pPr>
              <w:pStyle w:val="Normal"/>
              <w:widowControl w:val="false"/>
              <w:spacing w:lineRule="auto" w:line="240"/>
              <w:jc w:val="left"/>
              <w:rPr>
                <w:i/>
                <w:i/>
                <w:sz w:val="18"/>
                <w:szCs w:val="18"/>
              </w:rPr>
            </w:pPr>
            <w:r>
              <w:rPr>
                <w:i/>
                <w:sz w:val="18"/>
                <w:szCs w:val="18"/>
              </w:rPr>
            </w:r>
          </w:p>
        </w:tc>
        <w:tc>
          <w:tcPr>
            <w:tcW w:w="1566" w:type="dxa"/>
            <w:vMerge w:val="restart"/>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before="0" w:afterAutospacing="0" w:after="0"/>
              <w:jc w:val="center"/>
              <w:rPr>
                <w:sz w:val="18"/>
                <w:szCs w:val="18"/>
              </w:rPr>
            </w:pPr>
            <w:r>
              <w:rPr>
                <w:rFonts w:cs="Times New Roman"/>
                <w:b/>
                <w:bCs/>
                <w:i/>
                <w:kern w:val="0"/>
                <w:sz w:val="18"/>
                <w:szCs w:val="18"/>
                <w:lang w:val="ru-RU" w:bidi="ar-SA"/>
              </w:rPr>
              <w:t>Требование заказчика</w:t>
            </w:r>
          </w:p>
        </w:tc>
        <w:tc>
          <w:tcPr>
            <w:tcW w:w="3141" w:type="dxa"/>
            <w:gridSpan w:val="2"/>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center"/>
              <w:rPr>
                <w:sz w:val="18"/>
                <w:szCs w:val="18"/>
              </w:rPr>
            </w:pPr>
            <w:r>
              <w:rPr>
                <w:rFonts w:cs="Times New Roman"/>
                <w:b/>
                <w:bCs/>
                <w:i/>
                <w:iCs/>
                <w:kern w:val="0"/>
                <w:sz w:val="18"/>
                <w:szCs w:val="18"/>
                <w:lang w:val="ru-RU" w:bidi="ar-SA"/>
              </w:rPr>
              <w:t>Способ подтверждения участником соответствия требованиям</w:t>
            </w:r>
          </w:p>
        </w:tc>
        <w:tc>
          <w:tcPr>
            <w:tcW w:w="1391" w:type="dxa"/>
            <w:vMerge w:val="restart"/>
            <w:tcBorders>
              <w:top w:val="single" w:sz="4" w:space="0" w:color="000000"/>
              <w:left w:val="single" w:sz="4" w:space="0" w:color="000000"/>
              <w:bottom w:val="single" w:sz="4" w:space="0" w:color="000000"/>
            </w:tcBorders>
            <w:shd w:color="FFFFFF" w:fill="FFFFFF" w:themeFill="light1" w:val="clear"/>
            <w:vAlign w:val="center"/>
          </w:tcPr>
          <w:p>
            <w:pPr>
              <w:pStyle w:val="Normal"/>
              <w:widowControl w:val="false"/>
              <w:spacing w:lineRule="auto" w:line="240"/>
              <w:jc w:val="center"/>
              <w:rPr>
                <w:sz w:val="18"/>
                <w:szCs w:val="18"/>
              </w:rPr>
            </w:pPr>
            <w:r>
              <w:rPr>
                <w:rFonts w:cs="Times New Roman"/>
                <w:b/>
                <w:bCs/>
                <w:i/>
                <w:iCs/>
                <w:kern w:val="0"/>
                <w:sz w:val="18"/>
                <w:szCs w:val="18"/>
                <w:lang w:val="ru-RU" w:bidi="ar-SA"/>
              </w:rPr>
              <w:t>Предложение участника по характеристикам и параметрам</w:t>
            </w:r>
          </w:p>
        </w:tc>
      </w:tr>
      <w:tr>
        <w:trPr/>
        <w:tc>
          <w:tcPr>
            <w:tcW w:w="796" w:type="dxa"/>
            <w:vMerge w:val="continue"/>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right"/>
              <w:rPr>
                <w:i/>
                <w:i/>
                <w:sz w:val="18"/>
                <w:szCs w:val="18"/>
              </w:rPr>
            </w:pPr>
            <w:r>
              <w:rPr>
                <w:i/>
                <w:sz w:val="18"/>
                <w:szCs w:val="18"/>
              </w:rPr>
            </w:r>
          </w:p>
        </w:tc>
        <w:tc>
          <w:tcPr>
            <w:tcW w:w="2981" w:type="dxa"/>
            <w:vMerge w:val="continue"/>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left"/>
              <w:rPr>
                <w:kern w:val="0"/>
                <w:sz w:val="18"/>
                <w:szCs w:val="18"/>
              </w:rPr>
            </w:pPr>
            <w:r>
              <w:rPr>
                <w:kern w:val="0"/>
                <w:sz w:val="18"/>
                <w:szCs w:val="18"/>
              </w:rPr>
            </w:r>
          </w:p>
        </w:tc>
        <w:tc>
          <w:tcPr>
            <w:tcW w:w="1566" w:type="dxa"/>
            <w:vMerge w:val="continue"/>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left"/>
              <w:rPr>
                <w:kern w:val="0"/>
                <w:sz w:val="18"/>
                <w:szCs w:val="18"/>
              </w:rPr>
            </w:pPr>
            <w:r>
              <w:rPr>
                <w:kern w:val="0"/>
                <w:sz w:val="18"/>
                <w:szCs w:val="18"/>
              </w:rPr>
            </w:r>
          </w:p>
        </w:tc>
        <w:tc>
          <w:tcPr>
            <w:tcW w:w="1275" w:type="dxa"/>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center"/>
              <w:rPr>
                <w:sz w:val="18"/>
                <w:szCs w:val="18"/>
              </w:rPr>
            </w:pPr>
            <w:r>
              <w:rPr>
                <w:rFonts w:cs="Times New Roman"/>
                <w:b/>
                <w:bCs/>
                <w:i/>
                <w:iCs/>
                <w:kern w:val="0"/>
                <w:sz w:val="18"/>
                <w:szCs w:val="18"/>
                <w:lang w:val="ru-RU" w:bidi="ar-SA"/>
              </w:rPr>
              <w:t>Согласие с требованием</w:t>
            </w:r>
          </w:p>
        </w:tc>
        <w:tc>
          <w:tcPr>
            <w:tcW w:w="1866" w:type="dxa"/>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center"/>
              <w:rPr>
                <w:sz w:val="18"/>
                <w:szCs w:val="18"/>
              </w:rPr>
            </w:pPr>
            <w:r>
              <w:rPr>
                <w:b/>
                <w:bCs/>
                <w:i/>
                <w:iCs/>
                <w:kern w:val="0"/>
                <w:sz w:val="18"/>
                <w:szCs w:val="18"/>
              </w:rPr>
              <w:t>Предоставление подтверждающего документа</w:t>
            </w:r>
          </w:p>
        </w:tc>
        <w:tc>
          <w:tcPr>
            <w:tcW w:w="1391" w:type="dxa"/>
            <w:vMerge w:val="continue"/>
            <w:tcBorders>
              <w:left w:val="single" w:sz="4" w:space="0" w:color="000000"/>
              <w:bottom w:val="single" w:sz="4" w:space="0" w:color="000000"/>
            </w:tcBorders>
            <w:shd w:color="FFFFFF" w:fill="FFFFFF" w:themeFill="light1" w:val="clear"/>
            <w:vAlign w:val="center"/>
          </w:tcPr>
          <w:p>
            <w:pPr>
              <w:pStyle w:val="Normal"/>
              <w:widowControl w:val="false"/>
              <w:spacing w:lineRule="auto" w:line="240"/>
              <w:jc w:val="left"/>
              <w:rPr>
                <w:kern w:val="0"/>
                <w:sz w:val="18"/>
                <w:szCs w:val="18"/>
              </w:rPr>
            </w:pPr>
            <w:r>
              <w:rPr>
                <w:kern w:val="0"/>
                <w:sz w:val="18"/>
                <w:szCs w:val="18"/>
              </w:rPr>
            </w:r>
          </w:p>
        </w:tc>
      </w:tr>
      <w:tr>
        <w:trPr/>
        <w:tc>
          <w:tcPr>
            <w:tcW w:w="796" w:type="dxa"/>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1</w:t>
            </w:r>
          </w:p>
        </w:tc>
        <w:tc>
          <w:tcPr>
            <w:tcW w:w="2981" w:type="dxa"/>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2</w:t>
            </w:r>
          </w:p>
        </w:tc>
        <w:tc>
          <w:tcPr>
            <w:tcW w:w="1566" w:type="dxa"/>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3</w:t>
            </w:r>
          </w:p>
        </w:tc>
        <w:tc>
          <w:tcPr>
            <w:tcW w:w="1275" w:type="dxa"/>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rFonts w:cs="Times New Roman"/>
                <w:b/>
                <w:bCs/>
                <w:i w:val="false"/>
                <w:iCs w:val="false"/>
                <w:kern w:val="0"/>
                <w:sz w:val="18"/>
                <w:szCs w:val="18"/>
                <w:lang w:val="ru-RU" w:bidi="ar-SA"/>
              </w:rPr>
              <w:t>4</w:t>
            </w:r>
          </w:p>
        </w:tc>
        <w:tc>
          <w:tcPr>
            <w:tcW w:w="1866" w:type="dxa"/>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5</w:t>
            </w:r>
          </w:p>
        </w:tc>
        <w:tc>
          <w:tcPr>
            <w:tcW w:w="1391" w:type="dxa"/>
            <w:tcBorders>
              <w:left w:val="single" w:sz="4" w:space="0" w:color="000000"/>
              <w:bottom w:val="single" w:sz="4" w:space="0" w:color="000000"/>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6</w:t>
            </w:r>
          </w:p>
        </w:tc>
      </w:tr>
      <w:tr>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Номинальная теплопроизводительность, МВт</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13</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2.</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Количество котлов, шт</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bidi="ar-SA"/>
              </w:rPr>
              <w:t>6</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количества</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3.</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Температура воды на выходе из котла, не более,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115</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4.</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Температура воды на входе в котёл, не менее,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60</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5.</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Рабочее давление, МПа</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0,6</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6.</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Эксплуатационный КПД, не менее, % (без экономайзера)</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94</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7.</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0"/>
              <w:jc w:val="left"/>
              <w:rPr>
                <w:sz w:val="18"/>
                <w:szCs w:val="18"/>
              </w:rPr>
            </w:pPr>
            <w:r>
              <w:rPr>
                <w:rFonts w:cs="Times New Roman"/>
                <w:kern w:val="0"/>
                <w:sz w:val="18"/>
                <w:szCs w:val="18"/>
                <w:lang w:val="ru-RU" w:bidi="ar-SA"/>
              </w:rPr>
              <w:t xml:space="preserve">Температура уходящих газов при работе на природном газе (без экономайзера), не более,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180</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8.</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Диапазон регулирования теплопроизводительности,</w:t>
            </w:r>
            <w:r>
              <w:rPr>
                <w:rFonts w:cs="Times New Roman"/>
                <w:kern w:val="0"/>
                <w:sz w:val="18"/>
                <w:szCs w:val="18"/>
                <w:lang w:bidi="ar-SA"/>
              </w:rPr>
              <w:t xml:space="preserve"> </w:t>
            </w:r>
            <w:r>
              <w:rPr>
                <w:rFonts w:cs="Times New Roman"/>
                <w:kern w:val="0"/>
                <w:sz w:val="18"/>
                <w:szCs w:val="18"/>
                <w:lang w:val="ru-RU" w:bidi="ar-SA"/>
              </w:rPr>
              <w:t>%</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bidi="ar-SA"/>
              </w:rPr>
              <w:t>10-100</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9.</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Гидравлическое сопротивление, МПа, не более</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0,0</w:t>
            </w:r>
            <w:r>
              <w:rPr>
                <w:rFonts w:cs="Times New Roman"/>
                <w:kern w:val="0"/>
                <w:sz w:val="18"/>
                <w:szCs w:val="18"/>
                <w:highlight w:val="white"/>
                <w:lang w:bidi="ar-SA"/>
              </w:rPr>
              <w:t>11</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9.1</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Расход воды через котёл </w:t>
            </w:r>
            <w:r>
              <w:rPr>
                <w:rFonts w:cs="Times New Roman"/>
                <w:kern w:val="0"/>
                <w:sz w:val="18"/>
                <w:szCs w:val="18"/>
                <w:highlight w:val="white"/>
                <w:lang w:val="ru-RU" w:bidi="ar-SA"/>
              </w:rPr>
              <w:t>(</w:t>
            </w:r>
            <w:r>
              <w:rPr>
                <w:rFonts w:cs="Times New Roman"/>
                <w:kern w:val="0"/>
                <w:sz w:val="18"/>
                <w:szCs w:val="18"/>
                <w:highlight w:val="white"/>
                <w:lang w:bidi="ar-SA"/>
              </w:rPr>
              <w:t>min</w:t>
            </w:r>
            <w:r>
              <w:rPr>
                <w:rFonts w:cs="Times New Roman"/>
                <w:kern w:val="0"/>
                <w:sz w:val="18"/>
                <w:szCs w:val="18"/>
                <w:highlight w:val="white"/>
                <w:lang w:val="ru-RU" w:bidi="ar-SA"/>
              </w:rPr>
              <w:t>/</w:t>
            </w:r>
            <w:r>
              <w:rPr>
                <w:rFonts w:cs="Times New Roman"/>
                <w:kern w:val="0"/>
                <w:sz w:val="18"/>
                <w:szCs w:val="18"/>
                <w:highlight w:val="white"/>
                <w:lang w:bidi="ar-SA"/>
              </w:rPr>
              <w:t>max</w:t>
            </w:r>
            <w:r>
              <w:rPr>
                <w:rFonts w:cs="Times New Roman"/>
                <w:kern w:val="0"/>
                <w:sz w:val="18"/>
                <w:szCs w:val="18"/>
                <w:highlight w:val="white"/>
                <w:lang w:val="ru-RU" w:bidi="ar-SA"/>
              </w:rPr>
              <w:t>)</w:t>
            </w:r>
            <w:r>
              <w:rPr>
                <w:rFonts w:cs="Times New Roman"/>
                <w:kern w:val="0"/>
                <w:sz w:val="18"/>
                <w:szCs w:val="18"/>
                <w:lang w:val="ru-RU" w:bidi="ar-SA"/>
              </w:rPr>
              <w:t>, т/ч</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bidi="ar-SA"/>
              </w:rPr>
              <w:t>212/778</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10.</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Аэродинамическое сопротивление газового тракта котла, Па</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bidi="ar-SA"/>
              </w:rPr>
              <w:t>1593</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11.</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Допустимый уровень звука, создаваемый оборудованием комплектной поставки на расстоянии одного метра от основного, вспомогательного оборудования и среза дымовой трубы, дБ, не более</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rFonts w:ascii="Times New Roman" w:hAnsi="Times New Roman" w:cs="Times New Roman"/>
                <w:sz w:val="18"/>
                <w:szCs w:val="18"/>
              </w:rPr>
            </w:pPr>
            <w:r>
              <w:rPr>
                <w:rFonts w:cs="Times New Roman"/>
                <w:sz w:val="18"/>
                <w:szCs w:val="18"/>
              </w:rPr>
            </w:r>
          </w:p>
          <w:p>
            <w:pPr>
              <w:pStyle w:val="Normal"/>
              <w:widowControl w:val="false"/>
              <w:spacing w:lineRule="auto" w:line="240" w:before="0" w:after="200"/>
              <w:jc w:val="center"/>
              <w:rPr>
                <w:sz w:val="18"/>
                <w:szCs w:val="18"/>
              </w:rPr>
            </w:pPr>
            <w:r>
              <w:rPr>
                <w:rFonts w:cs="Times New Roman"/>
                <w:kern w:val="0"/>
                <w:sz w:val="18"/>
                <w:szCs w:val="18"/>
                <w:lang w:val="ru-RU" w:bidi="ar-SA"/>
              </w:rPr>
              <w:t>80</w:t>
            </w:r>
          </w:p>
          <w:p>
            <w:pPr>
              <w:pStyle w:val="Normal"/>
              <w:widowControl w:val="false"/>
              <w:spacing w:lineRule="auto" w:line="240" w:before="0" w:after="200"/>
              <w:jc w:val="center"/>
              <w:rPr>
                <w:rFonts w:ascii="Times New Roman" w:hAnsi="Times New Roman" w:cs="Times New Roman"/>
                <w:sz w:val="18"/>
                <w:szCs w:val="18"/>
              </w:rPr>
            </w:pPr>
            <w:r>
              <w:rPr>
                <w:rFonts w:cs="Times New Roman"/>
                <w:sz w:val="18"/>
                <w:szCs w:val="18"/>
              </w:rPr>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12.</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highlight w:val="white"/>
                <w:lang w:val="ru-RU" w:bidi="ar-SA"/>
              </w:rPr>
              <w:t>Данные по котловой воде:</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color w:val="000000"/>
                <w:kern w:val="0"/>
                <w:sz w:val="18"/>
                <w:szCs w:val="18"/>
              </w:rPr>
              <w:t>-//-</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color w:val="000000"/>
                <w:kern w:val="0"/>
                <w:sz w:val="18"/>
                <w:szCs w:val="18"/>
              </w:rPr>
              <w:t>-//-</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12.1</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прозрачность по шрифту, см не менее</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30</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12.2</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Карбонатная жёсткость, мкг-экв/кг, не более</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700</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12.3</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растворённого кислорода, мкг/кг, не более</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50</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12.4</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соединений железа (в пересчёте на Fe), мкг/кг, не более</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500</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12.5</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 xml:space="preserve">значение рН при 25 </w:t>
            </w:r>
            <w:r>
              <w:rPr>
                <w:rFonts w:cs="Times New Roman"/>
                <w:kern w:val="0"/>
                <w:sz w:val="18"/>
                <w:szCs w:val="18"/>
                <w:highlight w:val="white"/>
                <w:vertAlign w:val="superscript"/>
                <w:lang w:val="ru-RU" w:bidi="ar-SA"/>
              </w:rPr>
              <w:t>о</w:t>
            </w:r>
            <w:r>
              <w:rPr>
                <w:rFonts w:cs="Times New Roman"/>
                <w:kern w:val="0"/>
                <w:sz w:val="18"/>
                <w:szCs w:val="18"/>
                <w:highlight w:val="white"/>
                <w:lang w:val="ru-RU" w:bidi="ar-SA"/>
              </w:rPr>
              <w:t>С</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7-11</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12.6</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свободная углекислота, мг/кг</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отсутствует</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12.7</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нефтепродуктов, мг/кг, не более</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highlight w:val="white"/>
                <w:lang w:val="ru-RU" w:bidi="ar-SA"/>
              </w:rPr>
              <w:t>Данные по конструкции:</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color w:val="000000"/>
                <w:kern w:val="0"/>
                <w:sz w:val="18"/>
                <w:szCs w:val="18"/>
              </w:rPr>
              <w:t>-//-</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color w:val="000000"/>
                <w:kern w:val="0"/>
                <w:sz w:val="18"/>
                <w:szCs w:val="18"/>
              </w:rPr>
              <w:t>-//-</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r>
      <w:tr>
        <w:trPr>
          <w:trHeight w:val="1255"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13.1</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тип котла</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Водогрейный. Жаротрубный, трёхходовой, под наддувом</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13.2</w:t>
            </w:r>
          </w:p>
        </w:tc>
        <w:tc>
          <w:tcPr>
            <w:tcW w:w="2981" w:type="dxa"/>
            <w:tcBorders>
              <w:left w:val="single" w:sz="4" w:space="0" w:color="000000"/>
              <w:bottom w:val="single" w:sz="4" w:space="0" w:color="000000"/>
              <w:right w:val="nil"/>
            </w:tcBorders>
            <w:shd w:fill="FFFFFF" w:val="clear"/>
          </w:tcPr>
          <w:p>
            <w:pPr>
              <w:pStyle w:val="ListBullet"/>
              <w:widowControl w:val="false"/>
              <w:numPr>
                <w:ilvl w:val="0"/>
                <w:numId w:val="0"/>
              </w:numPr>
              <w:spacing w:lineRule="auto" w:line="240" w:before="0" w:after="0"/>
              <w:ind w:left="0" w:hanging="0"/>
              <w:contextualSpacing/>
              <w:jc w:val="left"/>
              <w:rPr>
                <w:sz w:val="18"/>
                <w:szCs w:val="18"/>
              </w:rPr>
            </w:pPr>
            <w:r>
              <w:rPr>
                <w:rFonts w:cs="Times New Roman"/>
                <w:kern w:val="0"/>
                <w:sz w:val="18"/>
                <w:szCs w:val="18"/>
                <w:highlight w:val="white"/>
                <w:lang w:val="ru-RU" w:bidi="ar-SA"/>
              </w:rPr>
              <w:t>габаритныеразмеры (Д×Ш×В), не более, мм</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6801х2860х3074</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13.3</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сухой вес котла, кг, не более</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bidi="ar-SA"/>
              </w:rPr>
              <w:t>23 218</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13.4</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вес котла с водой, кг, не более</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bidi="ar-SA"/>
              </w:rPr>
              <w:t>37 338</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13.5</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подача/обратка теплоносителя Ду, мм</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350</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13.6</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предохранительные клапана Ду, мм</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125</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13.7</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диаметр дымохода Ду, мм, не менее</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bidi="ar-SA"/>
              </w:rPr>
              <w:t>1000</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97"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13.8</w:t>
            </w:r>
          </w:p>
        </w:tc>
        <w:tc>
          <w:tcPr>
            <w:tcW w:w="2981" w:type="dxa"/>
            <w:tcBorders>
              <w:left w:val="single" w:sz="4" w:space="0" w:color="000000"/>
              <w:bottom w:val="single" w:sz="4" w:space="0" w:color="000000"/>
              <w:right w:val="nil"/>
            </w:tcBorders>
            <w:shd w:fill="FFFFFF" w:val="clear"/>
          </w:tcPr>
          <w:p>
            <w:pPr>
              <w:pStyle w:val="ListBullet"/>
              <w:widowControl w:val="false"/>
              <w:numPr>
                <w:ilvl w:val="0"/>
                <w:numId w:val="0"/>
              </w:numPr>
              <w:spacing w:lineRule="auto" w:line="240" w:before="0" w:after="200"/>
              <w:ind w:left="0" w:hanging="0"/>
              <w:contextualSpacing/>
              <w:jc w:val="left"/>
              <w:rPr>
                <w:sz w:val="18"/>
                <w:szCs w:val="18"/>
              </w:rPr>
            </w:pPr>
            <w:r>
              <w:rPr>
                <w:rFonts w:cs="Times New Roman"/>
                <w:kern w:val="0"/>
                <w:sz w:val="18"/>
                <w:szCs w:val="18"/>
                <w:highlight w:val="white"/>
                <w:lang w:val="ru-RU" w:bidi="ar-SA"/>
              </w:rPr>
              <w:t xml:space="preserve">наличие заводского теплоизоляционного покрытия с потерями тепла не выше 0,5 % от </w:t>
            </w:r>
            <w:r>
              <w:rPr>
                <w:rFonts w:cs="Times New Roman"/>
                <w:kern w:val="0"/>
                <w:sz w:val="18"/>
                <w:szCs w:val="18"/>
                <w:highlight w:val="white"/>
                <w:lang w:bidi="ar-SA"/>
              </w:rPr>
              <w:t>Q</w:t>
            </w:r>
          </w:p>
        </w:tc>
        <w:tc>
          <w:tcPr>
            <w:tcW w:w="1566" w:type="dxa"/>
            <w:tcBorders>
              <w:left w:val="single" w:sz="4" w:space="0" w:color="000000"/>
              <w:bottom w:val="single" w:sz="4" w:space="0" w:color="000000"/>
              <w:right w:val="nil"/>
            </w:tcBorders>
            <w:shd w:fill="FFFFFF" w:val="clear"/>
          </w:tcPr>
          <w:p>
            <w:pPr>
              <w:pStyle w:val="ListBullet"/>
              <w:widowControl w:val="false"/>
              <w:numPr>
                <w:ilvl w:val="0"/>
                <w:numId w:val="0"/>
              </w:numPr>
              <w:spacing w:lineRule="auto" w:line="240" w:before="0" w:after="200"/>
              <w:ind w:left="360" w:hanging="0"/>
              <w:contextualSpacing/>
              <w:jc w:val="center"/>
              <w:rPr>
                <w:sz w:val="18"/>
                <w:szCs w:val="18"/>
              </w:rPr>
            </w:pPr>
            <w:r>
              <w:rPr>
                <w:rFonts w:cs="Times New Roman"/>
                <w:kern w:val="0"/>
                <w:sz w:val="18"/>
                <w:szCs w:val="18"/>
                <w:highlight w:val="white"/>
                <w:lang w:val="ru-RU" w:bidi="ar-SA"/>
              </w:rPr>
              <w:t>обязательно</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13.9</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полное открытие фронтальной дверцы без демонтажа горелки</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13.10</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визуальный осмотр через смотровой глазок и люки</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97"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13.11</w:t>
            </w:r>
          </w:p>
        </w:tc>
        <w:tc>
          <w:tcPr>
            <w:tcW w:w="2981" w:type="dxa"/>
            <w:tcBorders>
              <w:left w:val="single" w:sz="4" w:space="0" w:color="000000"/>
              <w:bottom w:val="single" w:sz="4" w:space="0" w:color="000000"/>
              <w:right w:val="nil"/>
            </w:tcBorders>
            <w:shd w:fill="FFFFFF" w:val="clear"/>
          </w:tcPr>
          <w:p>
            <w:pPr>
              <w:pStyle w:val="ListBullet"/>
              <w:widowControl w:val="false"/>
              <w:numPr>
                <w:ilvl w:val="0"/>
                <w:numId w:val="0"/>
              </w:numPr>
              <w:spacing w:lineRule="auto" w:line="240" w:before="0" w:after="200"/>
              <w:ind w:left="0" w:hanging="0"/>
              <w:contextualSpacing/>
              <w:jc w:val="left"/>
              <w:rPr>
                <w:sz w:val="18"/>
                <w:szCs w:val="18"/>
              </w:rPr>
            </w:pPr>
            <w:r>
              <w:rPr>
                <w:rFonts w:cs="Times New Roman"/>
                <w:kern w:val="0"/>
                <w:sz w:val="18"/>
                <w:szCs w:val="18"/>
                <w:highlight w:val="white"/>
                <w:lang w:val="ru-RU" w:bidi="ar-SA"/>
              </w:rPr>
              <w:t>жаровая труба — гладкостенная, полностью омываемая теплоносителем. Сталь 09Г2С</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13.12</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lang w:val="ru-RU" w:bidi="ar-SA"/>
              </w:rPr>
              <w:t>прочная база на стальных опорах, возможность установки без фундамента</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обязательно</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bidi="ar-SA"/>
              </w:rPr>
              <w:t>13.13</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слив воды с котла</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самослив</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shd w:fill="auto" w:val="clear"/>
                <w:lang w:bidi="ar-SA"/>
              </w:rPr>
              <w:t>13.14</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shd w:fill="auto" w:val="clear"/>
                <w:lang w:val="ru-RU" w:bidi="ar-SA"/>
              </w:rPr>
              <w:t xml:space="preserve">наличие двух торосферических днищ: в огневой камере    и корпусе котла </w:t>
            </w:r>
            <w:r>
              <w:rPr>
                <w:rFonts w:cs="Times New Roman"/>
                <w:color w:val="000000"/>
                <w:kern w:val="0"/>
                <w:sz w:val="18"/>
                <w:szCs w:val="18"/>
                <w:shd w:fill="auto" w:val="clear"/>
                <w:vertAlign w:val="superscript"/>
                <w:lang w:val="ru-RU" w:bidi="ar-SA"/>
              </w:rPr>
              <w:t>*</w:t>
            </w:r>
            <w:r>
              <w:rPr>
                <w:rFonts w:cs="Times New Roman"/>
                <w:kern w:val="0"/>
                <w:sz w:val="18"/>
                <w:szCs w:val="18"/>
                <w:shd w:fill="auto" w:val="clear"/>
                <w:vertAlign w:val="superscript"/>
                <w:lang w:val="ru-RU" w:bidi="ar-SA"/>
              </w:rPr>
              <w:t>)</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color w:val="000000"/>
                <w:kern w:val="0"/>
                <w:sz w:val="18"/>
                <w:szCs w:val="18"/>
                <w:shd w:fill="auto" w:val="clear"/>
                <w:lang w:val="ru-RU" w:bidi="ar-SA"/>
              </w:rPr>
              <w:t>обязательно</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shd w:fill="auto" w:val="clear"/>
                <w:lang w:bidi="ar-SA"/>
              </w:rPr>
              <w:t>13.15</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shd w:fill="auto" w:val="clear"/>
                <w:lang w:val="ru-RU" w:bidi="ar-SA"/>
              </w:rPr>
              <w:t xml:space="preserve">многослойная теплоизоляция фронтальной двери котла с применением жаропрочного бетона и минераловатных материалов </w:t>
            </w:r>
            <w:r>
              <w:rPr>
                <w:rFonts w:cs="Times New Roman"/>
                <w:color w:val="000000"/>
                <w:kern w:val="0"/>
                <w:sz w:val="18"/>
                <w:szCs w:val="18"/>
                <w:shd w:fill="auto" w:val="clear"/>
                <w:vertAlign w:val="superscript"/>
                <w:lang w:val="ru-RU" w:bidi="ar-SA"/>
              </w:rPr>
              <w:t>**</w:t>
            </w:r>
            <w:r>
              <w:rPr>
                <w:rFonts w:cs="Times New Roman"/>
                <w:kern w:val="0"/>
                <w:sz w:val="18"/>
                <w:szCs w:val="18"/>
                <w:shd w:fill="auto" w:val="clear"/>
                <w:vertAlign w:val="superscript"/>
                <w:lang w:val="ru-RU" w:bidi="ar-SA"/>
              </w:rPr>
              <w:t>)</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color w:val="000000"/>
                <w:kern w:val="0"/>
                <w:sz w:val="18"/>
                <w:szCs w:val="18"/>
                <w:shd w:fill="auto" w:val="clear"/>
                <w:lang w:val="ru-RU" w:bidi="ar-SA"/>
              </w:rPr>
              <w:t>обязательно</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bidi="ar-SA"/>
              </w:rPr>
              <w:t>14.</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Комплект поставки:</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полный</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bidi="ar-SA"/>
              </w:rPr>
              <w:t>14.1</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color w:val="000000"/>
                <w:sz w:val="18"/>
                <w:szCs w:val="18"/>
              </w:rPr>
            </w:pPr>
            <w:r>
              <w:rPr>
                <w:rFonts w:cs="Times New Roman"/>
                <w:b w:val="false"/>
                <w:i w:val="false"/>
                <w:strike w:val="false"/>
                <w:dstrike w:val="false"/>
                <w:color w:val="000000"/>
                <w:kern w:val="0"/>
                <w:sz w:val="18"/>
                <w:szCs w:val="18"/>
                <w:highlight w:val="white"/>
                <w:u w:val="none"/>
                <w:shd w:fill="FFFF00" w:val="clear"/>
                <w:lang w:val="ru-RU" w:bidi="ar-SA"/>
              </w:rPr>
              <w:t>Котел — 6 комплектов</w:t>
            </w:r>
          </w:p>
          <w:p>
            <w:pPr>
              <w:pStyle w:val="Normal"/>
              <w:widowControl w:val="false"/>
              <w:spacing w:lineRule="auto" w:line="240" w:before="0" w:after="200"/>
              <w:ind w:left="0" w:hanging="0"/>
              <w:jc w:val="left"/>
              <w:rPr>
                <w:color w:val="000000"/>
                <w:sz w:val="18"/>
                <w:szCs w:val="18"/>
              </w:rPr>
            </w:pPr>
            <w:r>
              <w:rPr>
                <w:rFonts w:cs="Times New Roman"/>
                <w:b w:val="false"/>
                <w:i w:val="false"/>
                <w:strike w:val="false"/>
                <w:dstrike w:val="false"/>
                <w:color w:val="000000"/>
                <w:kern w:val="0"/>
                <w:sz w:val="18"/>
                <w:szCs w:val="18"/>
                <w:highlight w:val="white"/>
                <w:u w:val="none"/>
                <w:shd w:fill="FFFF00" w:val="clear"/>
                <w:lang w:val="ru-RU" w:bidi="ar-SA"/>
              </w:rPr>
              <w:t>с установленным оборудованием и приборами безопасности:</w:t>
            </w:r>
          </w:p>
          <w:p>
            <w:pPr>
              <w:pStyle w:val="Normal"/>
              <w:widowControl w:val="false"/>
              <w:spacing w:lineRule="auto" w:line="240" w:before="0" w:after="200"/>
              <w:ind w:left="0" w:hanging="0"/>
              <w:jc w:val="left"/>
              <w:rPr>
                <w:color w:val="000000"/>
                <w:sz w:val="18"/>
                <w:szCs w:val="18"/>
              </w:rPr>
            </w:pPr>
            <w:r>
              <w:rPr>
                <w:rFonts w:cs="Times New Roman"/>
                <w:b w:val="false"/>
                <w:i w:val="false"/>
                <w:strike w:val="false"/>
                <w:dstrike w:val="false"/>
                <w:color w:val="000000"/>
                <w:kern w:val="0"/>
                <w:sz w:val="18"/>
                <w:szCs w:val="18"/>
                <w:highlight w:val="white"/>
                <w:u w:val="none"/>
                <w:lang w:val="ru-RU" w:bidi="ar-SA"/>
              </w:rPr>
              <w:t>Ф</w:t>
            </w:r>
            <w:r>
              <w:rPr>
                <w:b w:val="false"/>
                <w:i w:val="false"/>
                <w:strike w:val="false"/>
                <w:dstrike w:val="false"/>
                <w:color w:val="000000"/>
                <w:kern w:val="0"/>
                <w:sz w:val="18"/>
                <w:szCs w:val="18"/>
                <w:u w:val="none"/>
              </w:rPr>
              <w:t xml:space="preserve">ланец под горелку </w:t>
            </w:r>
            <w:r>
              <w:rPr>
                <w:b w:val="false"/>
                <w:i w:val="false"/>
                <w:strike w:val="false"/>
                <w:dstrike w:val="false"/>
                <w:color w:val="000000"/>
                <w:kern w:val="0"/>
                <w:sz w:val="18"/>
                <w:szCs w:val="18"/>
                <w:u w:val="none"/>
                <w:shd w:fill="auto" w:val="clear"/>
              </w:rPr>
              <w:t xml:space="preserve">комбинированную (газ/диз.топливо) "Бернар" с выносным насосом диз.топлива </w:t>
            </w:r>
            <w:r>
              <w:rPr>
                <w:b w:val="false"/>
                <w:i w:val="false"/>
                <w:strike w:val="false"/>
                <w:dstrike w:val="false"/>
                <w:color w:val="000000"/>
                <w:kern w:val="0"/>
                <w:sz w:val="18"/>
                <w:szCs w:val="18"/>
                <w:u w:val="none"/>
              </w:rPr>
              <w:t>. Под установку горелки на котле</w:t>
            </w:r>
            <w:r>
              <w:rPr>
                <w:b w:val="false"/>
                <w:bCs w:val="false"/>
                <w:i w:val="false"/>
                <w:strike w:val="false"/>
                <w:dstrike w:val="false"/>
                <w:color w:val="000000"/>
                <w:kern w:val="0"/>
                <w:sz w:val="18"/>
                <w:szCs w:val="18"/>
                <w:u w:val="none"/>
              </w:rPr>
              <w:t xml:space="preserve"> - 6 шт.  или эквивалент</w:t>
            </w:r>
          </w:p>
          <w:p>
            <w:pPr>
              <w:pStyle w:val="Normal"/>
              <w:widowControl w:val="false"/>
              <w:spacing w:lineRule="auto" w:line="240" w:before="0" w:after="200"/>
              <w:ind w:left="0" w:hanging="0"/>
              <w:jc w:val="left"/>
              <w:rPr>
                <w:color w:val="000000"/>
                <w:sz w:val="18"/>
                <w:szCs w:val="18"/>
              </w:rPr>
            </w:pPr>
            <w:r>
              <w:rPr>
                <w:b w:val="false"/>
                <w:i w:val="false"/>
                <w:strike w:val="false"/>
                <w:dstrike w:val="false"/>
                <w:color w:val="000000"/>
                <w:kern w:val="0"/>
                <w:sz w:val="18"/>
                <w:szCs w:val="18"/>
                <w:u w:val="none"/>
              </w:rPr>
              <w:t xml:space="preserve"> </w:t>
            </w:r>
            <w:r>
              <w:rPr>
                <w:b w:val="false"/>
                <w:i w:val="false"/>
                <w:strike w:val="false"/>
                <w:dstrike w:val="false"/>
                <w:color w:val="000000"/>
                <w:kern w:val="0"/>
                <w:sz w:val="18"/>
                <w:szCs w:val="18"/>
                <w:u w:val="none"/>
              </w:rPr>
              <w:t>Блок термостатов для водогрейного котла до 115С  для ЭНТРОМАТИК или эквивалент</w:t>
            </w:r>
            <w:r>
              <w:rPr>
                <w:rFonts w:cs="Times New Roman"/>
                <w:b w:val="false"/>
                <w:i w:val="false"/>
                <w:strike w:val="false"/>
                <w:dstrike w:val="false"/>
                <w:color w:val="000000"/>
                <w:kern w:val="0"/>
                <w:sz w:val="18"/>
                <w:szCs w:val="18"/>
                <w:highlight w:val="white"/>
                <w:u w:val="none"/>
              </w:rPr>
              <w:t>-6 шт.</w:t>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rPr>
              <w:t>Гильза, ОВЕН или эквивалент- Защитная гильза нерж.сталь — 30 шт.</w:t>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rPr>
              <w:t>Термопреобразователь, ОВЕН или эквивалент - 12 шт.</w:t>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rPr>
              <w:t>Термопреобразователь -2 шт., ОВЕН или эквивалент-(Датчик температуры стратегии)</w:t>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rPr>
              <w:t>Гильза, ОВЕН или эквивалент- (Датчик температуры стратегии) 2 шт.</w:t>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rPr>
              <w:t>Реле давления модель 35, (-0,2...0,8 Мпа) G1/2-  РОСМА или эквивалент -12 шт.</w:t>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rPr>
              <w:t xml:space="preserve">   </w:t>
            </w:r>
            <w:r>
              <w:rPr>
                <w:b w:val="false"/>
                <w:i w:val="false"/>
                <w:strike w:val="false"/>
                <w:dstrike w:val="false"/>
                <w:color w:val="000000"/>
                <w:kern w:val="0"/>
                <w:sz w:val="18"/>
                <w:szCs w:val="18"/>
                <w:u w:val="none"/>
              </w:rPr>
              <w:t>Автоматика ЭНТРОМАТИК или эквивалент- система управления — 6 шт.</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color w:val="000000"/>
                <w:sz w:val="18"/>
                <w:szCs w:val="18"/>
              </w:rPr>
            </w:pPr>
            <w:r>
              <w:rPr>
                <w:color w:val="000000"/>
                <w:sz w:val="18"/>
                <w:szCs w:val="18"/>
              </w:rPr>
            </w:r>
          </w:p>
          <w:p>
            <w:pPr>
              <w:pStyle w:val="Normal"/>
              <w:widowControl w:val="false"/>
              <w:spacing w:lineRule="auto" w:line="240" w:before="0" w:after="200"/>
              <w:jc w:val="center"/>
              <w:rPr>
                <w:rFonts w:ascii="Times New Roman" w:hAnsi="Times New Roman" w:cs="Times New Roman"/>
                <w:color w:val="000000"/>
                <w:sz w:val="18"/>
                <w:szCs w:val="18"/>
                <w:highlight w:val="yellow"/>
              </w:rPr>
            </w:pPr>
            <w:r>
              <w:rPr>
                <w:rFonts w:cs="Times New Roman"/>
                <w:color w:val="000000"/>
                <w:sz w:val="18"/>
                <w:szCs w:val="18"/>
                <w:highlight w:val="yellow"/>
              </w:rPr>
            </w:r>
          </w:p>
          <w:p>
            <w:pPr>
              <w:pStyle w:val="Normal"/>
              <w:widowControl w:val="false"/>
              <w:spacing w:lineRule="auto" w:line="240" w:before="0" w:after="200"/>
              <w:ind w:left="0" w:hanging="0"/>
              <w:jc w:val="left"/>
              <w:rPr>
                <w:color w:val="000000"/>
                <w:kern w:val="0"/>
                <w:sz w:val="18"/>
                <w:szCs w:val="18"/>
              </w:rPr>
            </w:pPr>
            <w:r>
              <w:rPr>
                <w:color w:val="000000"/>
                <w:kern w:val="0"/>
                <w:sz w:val="18"/>
                <w:szCs w:val="18"/>
              </w:rPr>
            </w:r>
          </w:p>
          <w:p>
            <w:pPr>
              <w:pStyle w:val="Normal"/>
              <w:widowControl w:val="false"/>
              <w:spacing w:lineRule="auto" w:line="240" w:before="0" w:after="200"/>
              <w:ind w:left="0" w:hanging="0"/>
              <w:jc w:val="left"/>
              <w:rPr>
                <w:color w:val="000000"/>
                <w:sz w:val="18"/>
                <w:szCs w:val="18"/>
              </w:rPr>
            </w:pPr>
            <w:r>
              <w:rPr>
                <w:rFonts w:cs="Times New Roman"/>
                <w:b w:val="false"/>
                <w:i w:val="false"/>
                <w:strike w:val="false"/>
                <w:dstrike w:val="false"/>
                <w:color w:val="000000"/>
                <w:kern w:val="0"/>
                <w:sz w:val="18"/>
                <w:szCs w:val="18"/>
                <w:u w:val="none"/>
                <w:shd w:fill="auto" w:val="clear"/>
              </w:rPr>
              <w:t>HRX2060MG.MD.S.RU.A.8.100.EI, Q=16,0МВт,</w:t>
            </w:r>
          </w:p>
          <w:p>
            <w:pPr>
              <w:pStyle w:val="Normal"/>
              <w:widowControl w:val="false"/>
              <w:spacing w:lineRule="auto" w:line="240" w:before="0" w:after="200"/>
              <w:ind w:left="0" w:hanging="0"/>
              <w:jc w:val="left"/>
              <w:rPr>
                <w:rFonts w:ascii="Times New Roman" w:hAnsi="Times New Roman" w:cs="Times New Roman"/>
                <w:color w:val="000000"/>
                <w:sz w:val="18"/>
                <w:szCs w:val="18"/>
                <w:highlight w:val="white"/>
              </w:rPr>
            </w:pPr>
            <w:r>
              <w:rPr>
                <w:rFonts w:cs="Times New Roman"/>
                <w:color w:val="000000"/>
                <w:sz w:val="18"/>
                <w:szCs w:val="18"/>
                <w:highlight w:val="white"/>
              </w:rPr>
            </w:r>
          </w:p>
          <w:p>
            <w:pPr>
              <w:pStyle w:val="Normal"/>
              <w:widowControl w:val="false"/>
              <w:spacing w:lineRule="auto" w:line="240" w:before="0" w:after="200"/>
              <w:ind w:left="0" w:hanging="0"/>
              <w:jc w:val="left"/>
              <w:rPr>
                <w:color w:val="000000"/>
                <w:sz w:val="18"/>
                <w:szCs w:val="18"/>
              </w:rPr>
            </w:pPr>
            <w:r>
              <w:rPr>
                <w:rFonts w:cs="Times New Roman"/>
                <w:b w:val="false"/>
                <w:i w:val="false"/>
                <w:strike w:val="false"/>
                <w:dstrike w:val="false"/>
                <w:color w:val="000000"/>
                <w:kern w:val="0"/>
                <w:sz w:val="18"/>
                <w:szCs w:val="18"/>
                <w:highlight w:val="white"/>
                <w:u w:val="none"/>
                <w:shd w:fill="auto" w:val="clear"/>
                <w:lang w:val="ru-RU" w:bidi="ar-SA"/>
              </w:rPr>
              <w:t>Т</w:t>
            </w:r>
            <w:r>
              <w:rPr>
                <w:rFonts w:cs="Times New Roman"/>
                <w:b w:val="false"/>
                <w:i w:val="false"/>
                <w:strike w:val="false"/>
                <w:dstrike w:val="false"/>
                <w:color w:val="000000"/>
                <w:kern w:val="0"/>
                <w:sz w:val="18"/>
                <w:szCs w:val="18"/>
                <w:u w:val="none"/>
                <w:shd w:fill="auto" w:val="clear"/>
              </w:rPr>
              <w:t>Р 120</w:t>
            </w:r>
          </w:p>
          <w:p>
            <w:pPr>
              <w:pStyle w:val="Normal"/>
              <w:widowControl w:val="false"/>
              <w:spacing w:lineRule="auto" w:line="240" w:before="0" w:after="200"/>
              <w:ind w:left="0" w:hanging="0"/>
              <w:jc w:val="left"/>
              <w:rPr>
                <w:rFonts w:ascii="Times New Roman" w:hAnsi="Times New Roman" w:cs="Times New Roman"/>
                <w:color w:val="000000"/>
                <w:sz w:val="18"/>
                <w:szCs w:val="18"/>
                <w:highlight w:val="white"/>
              </w:rPr>
            </w:pPr>
            <w:r>
              <w:rPr>
                <w:rFonts w:cs="Times New Roman"/>
                <w:color w:val="000000"/>
                <w:sz w:val="18"/>
                <w:szCs w:val="18"/>
                <w:highlight w:val="white"/>
              </w:rPr>
            </w:r>
          </w:p>
          <w:p>
            <w:pPr>
              <w:pStyle w:val="Normal"/>
              <w:widowControl w:val="false"/>
              <w:spacing w:lineRule="auto" w:line="240"/>
              <w:jc w:val="left"/>
              <w:rPr>
                <w:b/>
                <w:bCs/>
              </w:rPr>
            </w:pPr>
            <w:r>
              <w:rPr>
                <w:rFonts w:cs="Times New Roman"/>
                <w:b/>
                <w:bCs/>
                <w:i w:val="false"/>
                <w:strike w:val="false"/>
                <w:dstrike w:val="false"/>
                <w:color w:val="000000"/>
                <w:kern w:val="0"/>
                <w:sz w:val="18"/>
                <w:szCs w:val="18"/>
                <w:u w:val="none"/>
                <w:shd w:fill="auto" w:val="clear"/>
              </w:rPr>
              <w:t>ГЗ.16.3.3.200</w:t>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rFonts w:cs="Times New Roman"/>
                <w:b w:val="false"/>
                <w:i w:val="false"/>
                <w:strike w:val="false"/>
                <w:dstrike w:val="false"/>
                <w:color w:val="000000"/>
                <w:kern w:val="0"/>
                <w:sz w:val="18"/>
                <w:szCs w:val="18"/>
                <w:u w:val="none"/>
                <w:shd w:fill="auto" w:val="clear"/>
              </w:rPr>
              <w:t>ДТС024-РТ1000.В2.30/1</w:t>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rPr>
              <w:t>ДТС024-РТ1000.В2.30/1</w:t>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b/>
                <w:bCs/>
              </w:rPr>
            </w:pPr>
            <w:r>
              <w:rPr>
                <w:b/>
                <w:bCs/>
                <w:i w:val="false"/>
                <w:strike w:val="false"/>
                <w:dstrike w:val="false"/>
                <w:color w:val="000000"/>
                <w:kern w:val="0"/>
                <w:sz w:val="18"/>
                <w:szCs w:val="18"/>
                <w:u w:val="none"/>
              </w:rPr>
              <w:t>ГЗ.16.3.3.400</w:t>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rPr>
              <w:t>РД-2Р</w:t>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rFonts w:ascii="Times New Roman" w:hAnsi="Times New Roman"/>
                <w:b w:val="false"/>
                <w:i w:val="false"/>
                <w:i w:val="false"/>
                <w:strike w:val="false"/>
                <w:dstrike w:val="false"/>
                <w:color w:val="000000"/>
                <w:sz w:val="18"/>
                <w:szCs w:val="18"/>
                <w:u w:val="none"/>
              </w:rPr>
            </w:pPr>
            <w:r>
              <w:rPr>
                <w:b w:val="false"/>
                <w:i w:val="false"/>
                <w:strike w:val="false"/>
                <w:dstrike w:val="false"/>
                <w:color w:val="000000"/>
                <w:sz w:val="18"/>
                <w:szCs w:val="18"/>
                <w:u w:val="none"/>
              </w:rPr>
            </w:r>
          </w:p>
          <w:p>
            <w:pPr>
              <w:pStyle w:val="Normal"/>
              <w:widowControl w:val="false"/>
              <w:spacing w:lineRule="auto" w:line="240"/>
              <w:jc w:val="left"/>
              <w:rPr>
                <w:rFonts w:ascii="Times New Roman" w:hAnsi="Times New Roman"/>
                <w:b w:val="false"/>
                <w:i w:val="false"/>
                <w:i w:val="false"/>
                <w:strike w:val="false"/>
                <w:dstrike w:val="false"/>
                <w:color w:val="000000"/>
                <w:sz w:val="18"/>
                <w:szCs w:val="18"/>
                <w:u w:val="none"/>
              </w:rPr>
            </w:pPr>
            <w:r>
              <w:rPr>
                <w:b w:val="false"/>
                <w:i w:val="false"/>
                <w:strike w:val="false"/>
                <w:dstrike w:val="false"/>
                <w:color w:val="000000"/>
                <w:sz w:val="18"/>
                <w:szCs w:val="18"/>
                <w:u w:val="none"/>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rPr>
              <w:t>120MS</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наименования, характеристик, количества</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bidi="ar-SA"/>
              </w:rPr>
              <w:t>14.2</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lang w:val="ru-RU" w:bidi="ar-SA"/>
              </w:rPr>
              <w:t>эксплуатационная документация</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200"/>
              <w:jc w:val="center"/>
              <w:rPr>
                <w:sz w:val="18"/>
                <w:szCs w:val="18"/>
              </w:rPr>
            </w:pPr>
            <w:r>
              <w:rPr>
                <w:sz w:val="18"/>
                <w:szCs w:val="18"/>
              </w:rPr>
              <w:t>Наличие</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val="false"/>
                <w:bCs w:val="false"/>
                <w:color w:val="000000"/>
                <w:kern w:val="0"/>
                <w:sz w:val="18"/>
                <w:szCs w:val="18"/>
              </w:rPr>
              <w:t>Согласие с требованием</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b/>
                <w:kern w:val="0"/>
                <w:sz w:val="18"/>
                <w:szCs w:val="18"/>
              </w:rPr>
            </w:pPr>
            <w:r>
              <w:rPr>
                <w:b/>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15.</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Требования по надёжности:</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color w:val="000000"/>
                <w:kern w:val="0"/>
                <w:sz w:val="18"/>
                <w:szCs w:val="18"/>
              </w:rPr>
              <w:t>-//-</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bidi="ar-SA"/>
              </w:rPr>
              <w:t>15.1</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Назначенный ресурс, не менее, ч</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200 000</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b/>
                <w:kern w:val="0"/>
                <w:sz w:val="18"/>
                <w:szCs w:val="18"/>
              </w:rPr>
            </w:pPr>
            <w:r>
              <w:rPr>
                <w:b/>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bidi="ar-SA"/>
              </w:rPr>
              <w:t>15.2</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Назначенный срок службы, не менее, лет</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25</w:t>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b/>
                <w:kern w:val="0"/>
                <w:sz w:val="18"/>
                <w:szCs w:val="18"/>
              </w:rPr>
            </w:pPr>
            <w:r>
              <w:rPr>
                <w:b/>
                <w:kern w:val="0"/>
                <w:sz w:val="18"/>
                <w:szCs w:val="18"/>
              </w:rPr>
            </w:r>
          </w:p>
        </w:tc>
      </w:tr>
      <w:tr>
        <w:trPr>
          <w:trHeight w:val="476" w:hRule="atLeast"/>
        </w:trPr>
        <w:tc>
          <w:tcPr>
            <w:tcW w:w="796" w:type="dxa"/>
            <w:tcBorders>
              <w:left w:val="single" w:sz="4" w:space="0" w:color="000000"/>
              <w:bottom w:val="single" w:sz="4" w:space="0" w:color="000000"/>
              <w:right w:val="nil"/>
            </w:tcBorders>
            <w:shd w:fill="FFFFFF" w:val="clear"/>
          </w:tcPr>
          <w:p>
            <w:pPr>
              <w:pStyle w:val="Normal"/>
              <w:widowControl w:val="false"/>
              <w:spacing w:lineRule="auto" w:line="240" w:before="0" w:after="200"/>
              <w:jc w:val="left"/>
              <w:rPr>
                <w:sz w:val="18"/>
                <w:szCs w:val="18"/>
              </w:rPr>
            </w:pPr>
            <w:r>
              <w:rPr>
                <w:rFonts w:cs="Times New Roman"/>
                <w:i/>
                <w:kern w:val="0"/>
                <w:sz w:val="18"/>
                <w:szCs w:val="18"/>
                <w:lang w:val="ru-RU" w:bidi="ar-SA"/>
              </w:rPr>
              <w:t>15.3</w:t>
            </w:r>
          </w:p>
        </w:tc>
        <w:tc>
          <w:tcPr>
            <w:tcW w:w="2981" w:type="dxa"/>
            <w:tcBorders>
              <w:left w:val="single" w:sz="4" w:space="0" w:color="000000"/>
              <w:bottom w:val="single" w:sz="4" w:space="0" w:color="000000"/>
              <w:right w:val="nil"/>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Количество пусков из холодного состояния</w:t>
            </w:r>
          </w:p>
        </w:tc>
        <w:tc>
          <w:tcPr>
            <w:tcW w:w="1566" w:type="dxa"/>
            <w:tcBorders>
              <w:left w:val="single" w:sz="4" w:space="0" w:color="000000"/>
              <w:bottom w:val="single" w:sz="4" w:space="0" w:color="000000"/>
              <w:right w:val="nil"/>
            </w:tcBorders>
            <w:shd w:fill="FFFFFF" w:val="clear"/>
          </w:tcPr>
          <w:p>
            <w:pPr>
              <w:pStyle w:val="Normal"/>
              <w:widowControl w:val="false"/>
              <w:spacing w:lineRule="auto" w:line="240" w:before="0" w:after="0"/>
              <w:jc w:val="center"/>
              <w:rPr>
                <w:sz w:val="18"/>
                <w:szCs w:val="18"/>
              </w:rPr>
            </w:pPr>
            <w:r>
              <w:rPr>
                <w:rFonts w:cs="Times New Roman"/>
                <w:kern w:val="0"/>
                <w:sz w:val="18"/>
                <w:szCs w:val="18"/>
                <w:lang w:val="ru-RU" w:bidi="ar-SA"/>
              </w:rPr>
              <w:t>Не ограничено</w:t>
            </w:r>
          </w:p>
          <w:p>
            <w:pPr>
              <w:pStyle w:val="Normal"/>
              <w:widowControl w:val="false"/>
              <w:spacing w:lineRule="auto" w:line="240" w:before="0" w:after="0"/>
              <w:jc w:val="center"/>
              <w:rPr>
                <w:rFonts w:ascii="Times New Roman" w:hAnsi="Times New Roman" w:cs="Times New Roman"/>
                <w:sz w:val="18"/>
                <w:szCs w:val="18"/>
                <w:highlight w:val="white"/>
              </w:rPr>
            </w:pPr>
            <w:r>
              <w:rPr>
                <w:rFonts w:cs="Times New Roman"/>
                <w:sz w:val="18"/>
                <w:szCs w:val="18"/>
                <w:highlight w:val="white"/>
              </w:rPr>
            </w:r>
          </w:p>
        </w:tc>
        <w:tc>
          <w:tcPr>
            <w:tcW w:w="1275"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866" w:type="dxa"/>
            <w:tcBorders>
              <w:left w:val="single" w:sz="4" w:space="0" w:color="000000"/>
              <w:bottom w:val="single" w:sz="4" w:space="0" w:color="000000"/>
              <w:right w:val="nil"/>
            </w:tcBorders>
            <w:shd w:fill="FFFFFF" w:val="clear"/>
          </w:tcPr>
          <w:p>
            <w:pPr>
              <w:pStyle w:val="Normal"/>
              <w:widowControl w:val="false"/>
              <w:spacing w:lineRule="auto" w:line="240"/>
              <w:rPr>
                <w:sz w:val="18"/>
                <w:szCs w:val="18"/>
              </w:rPr>
            </w:pPr>
            <w:r>
              <w:rPr>
                <w:b/>
                <w:kern w:val="0"/>
                <w:sz w:val="18"/>
                <w:szCs w:val="18"/>
              </w:rPr>
              <w:t>-//-</w:t>
            </w:r>
          </w:p>
        </w:tc>
        <w:tc>
          <w:tcPr>
            <w:tcW w:w="1391" w:type="dxa"/>
            <w:tcBorders>
              <w:left w:val="single" w:sz="4" w:space="0" w:color="000000"/>
              <w:bottom w:val="single" w:sz="4" w:space="0" w:color="000000"/>
            </w:tcBorders>
            <w:shd w:fill="FFFFFF" w:val="clear"/>
          </w:tcPr>
          <w:p>
            <w:pPr>
              <w:pStyle w:val="Normal"/>
              <w:widowControl w:val="false"/>
              <w:spacing w:lineRule="auto" w:line="240"/>
              <w:rPr>
                <w:b/>
                <w:kern w:val="0"/>
                <w:sz w:val="18"/>
                <w:szCs w:val="18"/>
              </w:rPr>
            </w:pPr>
            <w:r>
              <w:rPr>
                <w:b/>
                <w:kern w:val="0"/>
                <w:sz w:val="18"/>
                <w:szCs w:val="18"/>
              </w:rPr>
            </w:r>
          </w:p>
        </w:tc>
      </w:tr>
    </w:tbl>
    <w:p>
      <w:pPr>
        <w:pStyle w:val="Normal"/>
        <w:spacing w:lineRule="auto" w:line="240" w:before="0" w:after="0"/>
        <w:ind w:left="0" w:hanging="0"/>
        <w:jc w:val="both"/>
        <w:rPr>
          <w:rFonts w:cs="Times New Roman"/>
          <w:sz w:val="22"/>
          <w:szCs w:val="22"/>
          <w:highlight w:val="none"/>
          <w:shd w:fill="auto" w:val="clear"/>
          <w:lang w:val="ru-RU"/>
        </w:rPr>
      </w:pPr>
      <w:r>
        <w:rPr>
          <w:rFonts w:cs="Times New Roman"/>
          <w:sz w:val="22"/>
          <w:szCs w:val="22"/>
          <w:shd w:fill="auto" w:val="clear"/>
          <w:lang w:val="ru-RU"/>
        </w:rPr>
      </w:r>
    </w:p>
    <w:p>
      <w:pPr>
        <w:pStyle w:val="Normal"/>
        <w:spacing w:lineRule="auto" w:line="240" w:before="0" w:after="0"/>
        <w:ind w:left="0" w:hanging="0"/>
        <w:jc w:val="both"/>
        <w:rPr>
          <w:rFonts w:cs="Times New Roman"/>
          <w:sz w:val="22"/>
          <w:szCs w:val="22"/>
          <w:highlight w:val="none"/>
          <w:shd w:fill="auto" w:val="clear"/>
          <w:lang w:val="ru-RU"/>
        </w:rPr>
      </w:pPr>
      <w:r>
        <w:rPr>
          <w:rFonts w:cs="Times New Roman"/>
          <w:sz w:val="24"/>
          <w:szCs w:val="24"/>
          <w:shd w:fill="auto" w:val="clear"/>
          <w:vertAlign w:val="superscript"/>
          <w:lang w:val="ru-RU"/>
        </w:rPr>
        <w:t>*)</w:t>
      </w:r>
      <w:r>
        <w:rPr>
          <w:rFonts w:cs="Times New Roman"/>
          <w:sz w:val="24"/>
          <w:szCs w:val="24"/>
          <w:shd w:fill="auto" w:val="clear"/>
          <w:lang w:val="ru-RU"/>
        </w:rPr>
        <w:t xml:space="preserve"> </w:t>
      </w:r>
      <w:r>
        <w:rPr>
          <w:rFonts w:cs="Times New Roman"/>
          <w:sz w:val="22"/>
          <w:szCs w:val="22"/>
          <w:shd w:fill="auto" w:val="clear"/>
          <w:lang w:val="ru-RU"/>
        </w:rPr>
        <w:t>- Применение торосферических днищ должно обеспечивать повышение прочности конструкции, равномерное распределение механических и температурных нагрузок, снижение концентрации напряжений в зонах сварных соединений, а так же увеличение срока службы оборудования при эксплуатации в условиях переменных тепловых нагрузок.</w:t>
      </w:r>
    </w:p>
    <w:p>
      <w:pPr>
        <w:pStyle w:val="Normal"/>
        <w:spacing w:lineRule="auto" w:line="240" w:before="0" w:after="0"/>
        <w:ind w:hanging="0"/>
        <w:rPr>
          <w:sz w:val="22"/>
          <w:szCs w:val="22"/>
        </w:rPr>
      </w:pPr>
      <w:r>
        <w:rPr>
          <w:rFonts w:cs="Times New Roman"/>
          <w:sz w:val="22"/>
          <w:szCs w:val="22"/>
          <w:shd w:fill="auto" w:val="clear"/>
          <w:lang w:val="ru-RU"/>
        </w:rPr>
        <w:t>- Применение плоских, эллиптических либо иных типов днищ не допускается.</w:t>
      </w:r>
    </w:p>
    <w:p>
      <w:pPr>
        <w:pStyle w:val="Normal"/>
        <w:spacing w:lineRule="auto" w:line="240" w:before="0" w:after="0"/>
        <w:ind w:hanging="0"/>
        <w:rPr>
          <w:sz w:val="22"/>
          <w:szCs w:val="22"/>
        </w:rPr>
      </w:pPr>
      <w:r>
        <w:rPr>
          <w:rFonts w:cs="Times New Roman"/>
          <w:sz w:val="22"/>
          <w:szCs w:val="22"/>
          <w:shd w:fill="auto" w:val="clear"/>
          <w:vertAlign w:val="superscript"/>
          <w:lang w:val="ru-RU"/>
        </w:rPr>
        <w:t xml:space="preserve">**) </w:t>
      </w:r>
      <w:r>
        <w:rPr>
          <w:rFonts w:cs="Times New Roman"/>
          <w:sz w:val="22"/>
          <w:szCs w:val="22"/>
          <w:shd w:fill="auto" w:val="clear"/>
          <w:lang w:val="ru-RU"/>
        </w:rPr>
        <w:t>– теплоизоляция фронтальной двери должна обеспечивать снижение тепловых потерь, защиту металлоконструкций двери от температурных деформаций, повышение эксплуатационной надёжности, безопасные условия обслуживания оборудования.. Применение исключительно волокнистой теплоизоляции без использования жаропрочного бетона не допускается</w:t>
      </w:r>
    </w:p>
    <w:p>
      <w:pPr>
        <w:pStyle w:val="Normal"/>
        <w:spacing w:lineRule="auto" w:line="240" w:before="0" w:after="0"/>
        <w:ind w:left="0" w:hanging="0"/>
        <w:rPr>
          <w:rFonts w:ascii="Times New Roman" w:hAnsi="Times New Roman" w:cs="Times New Roman"/>
          <w:sz w:val="22"/>
          <w:szCs w:val="22"/>
          <w:highlight w:val="none"/>
          <w:shd w:fill="auto" w:val="clear"/>
          <w14:ligatures w14:val="none"/>
        </w:rPr>
      </w:pPr>
      <w:r>
        <w:rPr>
          <w:rFonts w:cs="Times New Roman"/>
          <w:sz w:val="22"/>
          <w:szCs w:val="22"/>
          <w:shd w:fill="auto" w:val="clear"/>
          <w14:ligatures w14:val="none"/>
        </w:rPr>
      </w:r>
    </w:p>
    <w:p>
      <w:pPr>
        <w:pStyle w:val="Normal"/>
        <w:spacing w:lineRule="auto" w:line="240" w:before="0" w:after="0"/>
        <w:ind w:left="0" w:hanging="0"/>
        <w:jc w:val="both"/>
        <w:rPr>
          <w:sz w:val="24"/>
          <w:szCs w:val="24"/>
        </w:rPr>
      </w:pPr>
      <w:r>
        <w:rPr>
          <w:rFonts w:cs="Times New Roman"/>
          <w:sz w:val="24"/>
          <w:szCs w:val="24"/>
          <w:shd w:fill="auto" w:val="clear"/>
          <w:lang w:val="ru-RU"/>
        </w:rPr>
        <w:t>Конструкции котла должна обеспечивать возможность проведения регламентного обслуживания, очистки поверхностей нагрева и доступа к основным элементам котла без демонтажа основных узлов оборудования.</w:t>
      </w:r>
    </w:p>
    <w:p>
      <w:pPr>
        <w:pStyle w:val="Normal"/>
        <w:spacing w:lineRule="auto" w:line="240" w:before="0" w:after="0"/>
        <w:ind w:left="709" w:hanging="0"/>
        <w:jc w:val="both"/>
        <w:rPr>
          <w:sz w:val="24"/>
          <w:szCs w:val="24"/>
        </w:rPr>
      </w:pPr>
      <w:r>
        <w:rPr>
          <w:rFonts w:cs="Times New Roman"/>
          <w:sz w:val="24"/>
          <w:szCs w:val="24"/>
          <w:shd w:fill="auto" w:val="clear"/>
          <w:lang w:val="ru-RU"/>
        </w:rPr>
        <w:t> </w:t>
      </w:r>
    </w:p>
    <w:p>
      <w:pPr>
        <w:pStyle w:val="Normal"/>
        <w:spacing w:lineRule="auto" w:line="240" w:before="0" w:after="0"/>
        <w:ind w:left="0" w:hanging="0"/>
        <w:jc w:val="both"/>
        <w:rPr>
          <w:sz w:val="24"/>
          <w:szCs w:val="24"/>
        </w:rPr>
      </w:pPr>
      <w:r>
        <w:rPr>
          <w:rFonts w:cs="Times New Roman"/>
          <w:sz w:val="24"/>
          <w:szCs w:val="24"/>
          <w:shd w:fill="auto" w:val="clear"/>
          <w:lang w:val="ru-RU"/>
        </w:rPr>
        <w:t>Материалы, применяемые при изготовлении элементов котла, работающих под давлением и взаимодействием высоких температур должны соответствовать требованиям действующих нормативных документов, обеспечивать необходимую прочность, коррозийную стойкость и расчетный ресурс эксплуатации.</w:t>
      </w:r>
    </w:p>
    <w:p>
      <w:pPr>
        <w:pStyle w:val="Normal"/>
        <w:spacing w:lineRule="auto" w:line="240" w:before="0" w:after="0"/>
        <w:ind w:left="0" w:hanging="0"/>
        <w:jc w:val="both"/>
        <w:rPr>
          <w:sz w:val="24"/>
          <w:szCs w:val="24"/>
        </w:rPr>
      </w:pPr>
      <w:r>
        <w:rPr>
          <w:rFonts w:cs="Times New Roman"/>
          <w:sz w:val="24"/>
          <w:szCs w:val="24"/>
          <w:shd w:fill="auto" w:val="clear"/>
          <w:lang w:val="ru-RU"/>
        </w:rPr>
        <w:t>Котел должен быть изготовлен на заводских условиях серийным производителем, иметь подтвержденный опыт эксплуатации аналогичного оборудования на промышленных объектах  и соответствовать требованиям действующих норм промышленной безопасности.</w:t>
      </w:r>
    </w:p>
    <w:p>
      <w:pPr>
        <w:pStyle w:val="Normal"/>
        <w:spacing w:lineRule="auto" w:line="240" w:before="0" w:after="0"/>
        <w:ind w:left="709" w:hanging="0"/>
        <w:jc w:val="both"/>
        <w:rPr>
          <w:sz w:val="24"/>
          <w:szCs w:val="24"/>
        </w:rPr>
      </w:pPr>
      <w:r>
        <w:rPr>
          <w:rFonts w:cs="Times New Roman"/>
          <w:sz w:val="24"/>
          <w:szCs w:val="24"/>
          <w:shd w:fill="auto" w:val="clear"/>
          <w:lang w:val="ru-RU"/>
        </w:rPr>
        <w:t> </w:t>
      </w:r>
    </w:p>
    <w:p>
      <w:pPr>
        <w:pStyle w:val="Normal"/>
        <w:spacing w:lineRule="auto" w:line="240" w:before="0" w:after="0"/>
        <w:ind w:left="0" w:hanging="0"/>
        <w:jc w:val="both"/>
        <w:rPr>
          <w:sz w:val="24"/>
          <w:szCs w:val="24"/>
        </w:rPr>
      </w:pPr>
      <w:r>
        <w:rPr>
          <w:sz w:val="24"/>
          <w:szCs w:val="24"/>
          <w:shd w:fill="auto" w:val="clear"/>
        </w:rPr>
        <w:t>Конструкции котла должны обеспечивать устойчивую и безопасную работу оборудования в автоматическом режиме с возможностью интеграции в общекотельные системы автоматизации и контроля.</w:t>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pacing w:lineRule="auto" w:line="240" w:before="0" w:after="0"/>
        <w:ind w:left="0" w:hanging="0"/>
        <w:jc w:val="both"/>
        <w:rPr>
          <w:rFonts w:ascii="Times New Roman" w:hAnsi="Times New Roman"/>
          <w:highlight w:val="none"/>
          <w:shd w:fill="auto" w:val="clear"/>
        </w:rPr>
      </w:pPr>
      <w:r>
        <w:rPr>
          <w:shd w:fill="auto" w:val="clear"/>
        </w:rPr>
      </w:r>
    </w:p>
    <w:p>
      <w:pPr>
        <w:pStyle w:val="Normal"/>
        <w:shd w:val="nil" w:color="auto"/>
        <w:rPr>
          <w:sz w:val="24"/>
          <w:szCs w:val="24"/>
        </w:rPr>
      </w:pPr>
      <w:r>
        <w:rPr>
          <w:sz w:val="24"/>
          <w:szCs w:val="24"/>
        </w:rPr>
      </w:r>
      <w:r>
        <w:br w:type="page"/>
      </w:r>
    </w:p>
    <w:p>
      <w:pPr>
        <w:pStyle w:val="Normal"/>
        <w:spacing w:lineRule="auto" w:line="240" w:before="0" w:after="0"/>
        <w:ind w:left="0" w:hanging="0"/>
        <w:jc w:val="both"/>
        <w:rPr>
          <w:sz w:val="24"/>
          <w:szCs w:val="24"/>
        </w:rPr>
      </w:pPr>
      <w:r>
        <w:rPr>
          <w:sz w:val="24"/>
          <w:szCs w:val="24"/>
        </w:rPr>
      </w:r>
    </w:p>
    <w:p>
      <w:pPr>
        <w:pStyle w:val="Normal"/>
        <w:spacing w:lineRule="auto" w:line="240" w:before="0" w:after="0"/>
        <w:jc w:val="left"/>
        <w:rPr>
          <w:sz w:val="24"/>
          <w:szCs w:val="24"/>
        </w:rPr>
      </w:pPr>
      <w:r>
        <w:rPr>
          <w:rFonts w:cs="Times New Roman"/>
          <w:b/>
          <w:bCs/>
          <w:sz w:val="24"/>
          <w:szCs w:val="24"/>
          <w:lang w:val="ru-RU"/>
        </w:rPr>
        <w:t xml:space="preserve">6.3. </w:t>
      </w:r>
      <w:r>
        <w:rPr>
          <w:rFonts w:eastAsia="Times New Roman" w:cs="Times New Roman"/>
          <w:b w:val="false"/>
          <w:bCs/>
          <w:i w:val="false"/>
          <w:strike w:val="false"/>
          <w:dstrike w:val="false"/>
          <w:color w:val="000000"/>
          <w:position w:val="0"/>
          <w:sz w:val="24"/>
          <w:sz w:val="24"/>
          <w:szCs w:val="24"/>
          <w:u w:val="single"/>
          <w:vertAlign w:val="baseline"/>
          <w:lang w:val="ru-RU"/>
        </w:rPr>
        <w:t>Котел «Термотехник» ТТ100-01 мощность 10 000 кВт</w:t>
      </w:r>
      <w:r>
        <w:rPr>
          <w:rFonts w:eastAsia="Times New Roman" w:cs="Times New Roman"/>
          <w:b w:val="false"/>
          <w:bCs/>
          <w:i w:val="false"/>
          <w:strike w:val="false"/>
          <w:dstrike w:val="false"/>
          <w:color w:val="000000"/>
          <w:position w:val="0"/>
          <w:sz w:val="24"/>
          <w:sz w:val="24"/>
          <w:szCs w:val="24"/>
          <w:u w:val="none"/>
          <w:vertAlign w:val="baseline"/>
          <w:lang w:val="ru-RU"/>
        </w:rPr>
        <w:t>- трехходовой, водогрейный, газотрубный, мощностью 10 000 кВт. 140С (или эквивалент, указать наименование) в комплекте</w:t>
      </w:r>
      <w:r>
        <w:rPr>
          <w:rFonts w:cs="Times New Roman"/>
          <w:b/>
          <w:bCs/>
          <w:sz w:val="24"/>
          <w:szCs w:val="24"/>
          <w:lang w:val="ru-RU"/>
        </w:rPr>
        <w:t xml:space="preserve"> (</w:t>
      </w:r>
      <w:r>
        <w:rPr>
          <w:rFonts w:cs="Times New Roman"/>
          <w:b w:val="false"/>
          <w:bCs w:val="false"/>
          <w:sz w:val="24"/>
          <w:szCs w:val="24"/>
          <w:lang w:val="ru-RU"/>
        </w:rPr>
        <w:t>для газовой котельной в 252 квартале г. Благовещенск, Амурская область)</w:t>
      </w:r>
    </w:p>
    <w:tbl>
      <w:tblPr>
        <w:tblStyle w:val="987"/>
        <w:tblW w:w="9982" w:type="dxa"/>
        <w:jc w:val="left"/>
        <w:tblInd w:w="171" w:type="dxa"/>
        <w:tblLayout w:type="fixed"/>
        <w:tblCellMar>
          <w:top w:w="55" w:type="dxa"/>
          <w:left w:w="108" w:type="dxa"/>
          <w:bottom w:w="55" w:type="dxa"/>
          <w:right w:w="108" w:type="dxa"/>
        </w:tblCellMar>
        <w:tblLook w:val="04a0" w:noHBand="0" w:noVBand="1" w:firstColumn="1" w:lastRow="0" w:lastColumn="0" w:firstRow="1"/>
      </w:tblPr>
      <w:tblGrid>
        <w:gridCol w:w="730"/>
        <w:gridCol w:w="3704"/>
        <w:gridCol w:w="1407"/>
        <w:gridCol w:w="1237"/>
        <w:gridCol w:w="1359"/>
        <w:gridCol w:w="1544"/>
      </w:tblGrid>
      <w:tr>
        <w:trPr/>
        <w:tc>
          <w:tcPr>
            <w:tcW w:w="730" w:type="dxa"/>
            <w:vMerge w:val="restart"/>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before="0" w:after="200"/>
              <w:jc w:val="center"/>
              <w:rPr>
                <w:sz w:val="18"/>
                <w:szCs w:val="18"/>
              </w:rPr>
            </w:pPr>
            <w:r>
              <w:rPr>
                <w:rFonts w:cs="Times New Roman"/>
                <w:b/>
                <w:bCs/>
                <w:i/>
                <w:kern w:val="0"/>
                <w:sz w:val="18"/>
                <w:szCs w:val="18"/>
                <w:lang w:val="ru-RU" w:bidi="ar-SA"/>
              </w:rPr>
              <w:t xml:space="preserve">№ </w:t>
            </w:r>
            <w:r>
              <w:rPr>
                <w:rFonts w:cs="Times New Roman"/>
                <w:b/>
                <w:bCs/>
                <w:i/>
                <w:kern w:val="0"/>
                <w:sz w:val="18"/>
                <w:szCs w:val="18"/>
                <w:lang w:val="ru-RU" w:bidi="ar-SA"/>
              </w:rPr>
              <w:t>п/п</w:t>
            </w:r>
          </w:p>
        </w:tc>
        <w:tc>
          <w:tcPr>
            <w:tcW w:w="3704" w:type="dxa"/>
            <w:vMerge w:val="restart"/>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before="0" w:after="200"/>
              <w:jc w:val="center"/>
              <w:rPr>
                <w:sz w:val="18"/>
                <w:szCs w:val="18"/>
              </w:rPr>
            </w:pPr>
            <w:r>
              <w:rPr>
                <w:rFonts w:cs="Times New Roman"/>
                <w:b/>
                <w:bCs/>
                <w:i/>
                <w:kern w:val="0"/>
                <w:sz w:val="18"/>
                <w:szCs w:val="18"/>
                <w:lang w:val="ru-RU" w:bidi="ar-SA"/>
              </w:rPr>
              <w:t>Наименование параметра</w:t>
            </w:r>
          </w:p>
        </w:tc>
        <w:tc>
          <w:tcPr>
            <w:tcW w:w="1407" w:type="dxa"/>
            <w:vMerge w:val="restart"/>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before="0" w:afterAutospacing="0" w:after="0"/>
              <w:jc w:val="center"/>
              <w:rPr>
                <w:sz w:val="18"/>
                <w:szCs w:val="18"/>
              </w:rPr>
            </w:pPr>
            <w:r>
              <w:rPr>
                <w:rFonts w:cs="Times New Roman"/>
                <w:b/>
                <w:bCs/>
                <w:i/>
                <w:kern w:val="0"/>
                <w:sz w:val="18"/>
                <w:szCs w:val="18"/>
                <w:lang w:val="ru-RU" w:bidi="ar-SA"/>
              </w:rPr>
              <w:t>Требование заказчика</w:t>
            </w:r>
          </w:p>
        </w:tc>
        <w:tc>
          <w:tcPr>
            <w:tcW w:w="2596" w:type="dxa"/>
            <w:gridSpan w:val="2"/>
            <w:tcBorders>
              <w:top w:val="single" w:sz="4" w:space="0" w:color="000000"/>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center"/>
              <w:rPr>
                <w:sz w:val="18"/>
                <w:szCs w:val="18"/>
              </w:rPr>
            </w:pPr>
            <w:r>
              <w:rPr>
                <w:rFonts w:cs="Times New Roman"/>
                <w:b/>
                <w:bCs/>
                <w:i/>
                <w:iCs/>
                <w:kern w:val="0"/>
                <w:sz w:val="18"/>
                <w:szCs w:val="18"/>
                <w:lang w:val="ru-RU" w:bidi="ar-SA"/>
              </w:rPr>
              <w:t>Способ подтверждения участником соответствия требованиям</w:t>
            </w:r>
          </w:p>
        </w:tc>
        <w:tc>
          <w:tcPr>
            <w:tcW w:w="1544" w:type="dxa"/>
            <w:vMerge w:val="restart"/>
            <w:tcBorders>
              <w:top w:val="single" w:sz="4" w:space="0" w:color="000000"/>
              <w:left w:val="single" w:sz="4" w:space="0" w:color="000000"/>
              <w:bottom w:val="single" w:sz="4" w:space="0" w:color="000000"/>
            </w:tcBorders>
            <w:shd w:color="FFFFFF" w:fill="FFFFFF" w:themeFill="light1" w:val="clear"/>
            <w:vAlign w:val="center"/>
          </w:tcPr>
          <w:p>
            <w:pPr>
              <w:pStyle w:val="Normal"/>
              <w:widowControl w:val="false"/>
              <w:spacing w:lineRule="auto" w:line="240"/>
              <w:jc w:val="center"/>
              <w:rPr>
                <w:sz w:val="18"/>
                <w:szCs w:val="18"/>
              </w:rPr>
            </w:pPr>
            <w:r>
              <w:rPr>
                <w:rFonts w:cs="Times New Roman"/>
                <w:b/>
                <w:bCs/>
                <w:i/>
                <w:iCs/>
                <w:kern w:val="0"/>
                <w:sz w:val="18"/>
                <w:szCs w:val="18"/>
                <w:lang w:val="ru-RU" w:bidi="ar-SA"/>
              </w:rPr>
              <w:t>Предложение участника по характеристикам и параметрам</w:t>
            </w:r>
          </w:p>
        </w:tc>
      </w:tr>
      <w:tr>
        <w:trPr/>
        <w:tc>
          <w:tcPr>
            <w:tcW w:w="730" w:type="dxa"/>
            <w:vMerge w:val="continue"/>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right"/>
              <w:rPr>
                <w:i/>
                <w:i/>
                <w:sz w:val="18"/>
                <w:szCs w:val="18"/>
              </w:rPr>
            </w:pPr>
            <w:r>
              <w:rPr>
                <w:i/>
                <w:sz w:val="18"/>
                <w:szCs w:val="18"/>
              </w:rPr>
            </w:r>
          </w:p>
        </w:tc>
        <w:tc>
          <w:tcPr>
            <w:tcW w:w="3704" w:type="dxa"/>
            <w:vMerge w:val="continue"/>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left"/>
              <w:rPr>
                <w:kern w:val="0"/>
                <w:sz w:val="18"/>
                <w:szCs w:val="18"/>
              </w:rPr>
            </w:pPr>
            <w:r>
              <w:rPr>
                <w:kern w:val="0"/>
                <w:sz w:val="18"/>
                <w:szCs w:val="18"/>
              </w:rPr>
            </w:r>
          </w:p>
        </w:tc>
        <w:tc>
          <w:tcPr>
            <w:tcW w:w="1407" w:type="dxa"/>
            <w:vMerge w:val="continue"/>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left"/>
              <w:rPr>
                <w:kern w:val="0"/>
                <w:sz w:val="18"/>
                <w:szCs w:val="18"/>
              </w:rPr>
            </w:pPr>
            <w:r>
              <w:rPr>
                <w:kern w:val="0"/>
                <w:sz w:val="18"/>
                <w:szCs w:val="18"/>
              </w:rPr>
            </w:r>
          </w:p>
        </w:tc>
        <w:tc>
          <w:tcPr>
            <w:tcW w:w="1237" w:type="dxa"/>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center"/>
              <w:rPr>
                <w:sz w:val="18"/>
                <w:szCs w:val="18"/>
              </w:rPr>
            </w:pPr>
            <w:r>
              <w:rPr>
                <w:rFonts w:cs="Times New Roman"/>
                <w:b/>
                <w:bCs/>
                <w:i/>
                <w:iCs/>
                <w:kern w:val="0"/>
                <w:sz w:val="18"/>
                <w:szCs w:val="18"/>
                <w:lang w:val="ru-RU" w:bidi="ar-SA"/>
              </w:rPr>
              <w:t>Согласие с требованием</w:t>
            </w:r>
          </w:p>
        </w:tc>
        <w:tc>
          <w:tcPr>
            <w:tcW w:w="1359" w:type="dxa"/>
            <w:tcBorders>
              <w:left w:val="single" w:sz="4" w:space="0" w:color="000000"/>
              <w:bottom w:val="single" w:sz="4" w:space="0" w:color="000000"/>
              <w:right w:val="nil"/>
            </w:tcBorders>
            <w:shd w:color="FFFFFF" w:fill="FFFFFF" w:themeFill="light1" w:val="clear"/>
            <w:vAlign w:val="center"/>
          </w:tcPr>
          <w:p>
            <w:pPr>
              <w:pStyle w:val="Normal"/>
              <w:widowControl w:val="false"/>
              <w:spacing w:lineRule="auto" w:line="240"/>
              <w:jc w:val="center"/>
              <w:rPr>
                <w:sz w:val="18"/>
                <w:szCs w:val="18"/>
              </w:rPr>
            </w:pPr>
            <w:r>
              <w:rPr>
                <w:b/>
                <w:bCs/>
                <w:i/>
                <w:iCs/>
                <w:kern w:val="0"/>
                <w:sz w:val="18"/>
                <w:szCs w:val="18"/>
              </w:rPr>
              <w:t>Предоставление подтверждающего документа</w:t>
            </w:r>
          </w:p>
        </w:tc>
        <w:tc>
          <w:tcPr>
            <w:tcW w:w="1544" w:type="dxa"/>
            <w:vMerge w:val="continue"/>
            <w:tcBorders>
              <w:left w:val="single" w:sz="4" w:space="0" w:color="000000"/>
              <w:bottom w:val="single" w:sz="4" w:space="0" w:color="000000"/>
            </w:tcBorders>
            <w:shd w:color="FFFFFF" w:fill="FFFFFF" w:themeFill="light1" w:val="clear"/>
            <w:vAlign w:val="center"/>
          </w:tcPr>
          <w:p>
            <w:pPr>
              <w:pStyle w:val="Normal"/>
              <w:widowControl w:val="false"/>
              <w:spacing w:lineRule="auto" w:line="240"/>
              <w:jc w:val="left"/>
              <w:rPr>
                <w:kern w:val="0"/>
                <w:sz w:val="18"/>
                <w:szCs w:val="18"/>
              </w:rPr>
            </w:pPr>
            <w:r>
              <w:rPr>
                <w:kern w:val="0"/>
                <w:sz w:val="18"/>
                <w:szCs w:val="18"/>
              </w:rPr>
            </w:r>
          </w:p>
        </w:tc>
      </w:tr>
      <w:tr>
        <w:trPr/>
        <w:tc>
          <w:tcPr>
            <w:tcW w:w="730" w:type="dxa"/>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1</w:t>
            </w:r>
          </w:p>
        </w:tc>
        <w:tc>
          <w:tcPr>
            <w:tcW w:w="3704" w:type="dxa"/>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2</w:t>
            </w:r>
          </w:p>
        </w:tc>
        <w:tc>
          <w:tcPr>
            <w:tcW w:w="1407" w:type="dxa"/>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3</w:t>
            </w:r>
          </w:p>
        </w:tc>
        <w:tc>
          <w:tcPr>
            <w:tcW w:w="1237" w:type="dxa"/>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rFonts w:cs="Times New Roman"/>
                <w:b/>
                <w:bCs/>
                <w:i w:val="false"/>
                <w:iCs w:val="false"/>
                <w:kern w:val="0"/>
                <w:sz w:val="18"/>
                <w:szCs w:val="18"/>
                <w:lang w:val="ru-RU" w:bidi="ar-SA"/>
              </w:rPr>
              <w:t>4</w:t>
            </w:r>
          </w:p>
        </w:tc>
        <w:tc>
          <w:tcPr>
            <w:tcW w:w="1359" w:type="dxa"/>
            <w:tcBorders>
              <w:left w:val="single" w:sz="4" w:space="0" w:color="000000"/>
              <w:bottom w:val="single" w:sz="4" w:space="0" w:color="000000"/>
              <w:right w:val="nil"/>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5</w:t>
            </w:r>
          </w:p>
        </w:tc>
        <w:tc>
          <w:tcPr>
            <w:tcW w:w="1544" w:type="dxa"/>
            <w:tcBorders>
              <w:left w:val="single" w:sz="4" w:space="0" w:color="000000"/>
              <w:bottom w:val="single" w:sz="4" w:space="0" w:color="000000"/>
            </w:tcBorders>
            <w:shd w:color="FFFFFF" w:fill="FFFFFF" w:themeFill="light1" w:val="clear"/>
          </w:tcPr>
          <w:p>
            <w:pPr>
              <w:pStyle w:val="Normal"/>
              <w:widowControl w:val="false"/>
              <w:spacing w:lineRule="auto" w:line="240"/>
              <w:jc w:val="center"/>
              <w:rPr>
                <w:sz w:val="18"/>
                <w:szCs w:val="18"/>
              </w:rPr>
            </w:pPr>
            <w:r>
              <w:rPr>
                <w:b/>
                <w:bCs/>
                <w:i w:val="false"/>
                <w:iCs w:val="false"/>
                <w:kern w:val="0"/>
                <w:sz w:val="18"/>
                <w:szCs w:val="18"/>
              </w:rPr>
              <w:t>6</w:t>
            </w:r>
          </w:p>
        </w:tc>
      </w:tr>
      <w:tr>
        <w:trPr/>
        <w:tc>
          <w:tcPr>
            <w:tcW w:w="730" w:type="dxa"/>
            <w:tcBorders>
              <w:top w:val="single" w:sz="4" w:space="0" w:color="000000"/>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w:t>
            </w:r>
          </w:p>
        </w:tc>
        <w:tc>
          <w:tcPr>
            <w:tcW w:w="3704" w:type="dxa"/>
            <w:tcBorders>
              <w:top w:val="single" w:sz="4" w:space="0" w:color="000000"/>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Номинальная теплопроизводительность, МВт</w:t>
            </w:r>
          </w:p>
        </w:tc>
        <w:tc>
          <w:tcPr>
            <w:tcW w:w="1407" w:type="dxa"/>
            <w:tcBorders>
              <w:top w:val="single" w:sz="4" w:space="0" w:color="000000"/>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10</w:t>
            </w:r>
          </w:p>
        </w:tc>
        <w:tc>
          <w:tcPr>
            <w:tcW w:w="1237" w:type="dxa"/>
            <w:tcBorders>
              <w:top w:val="single" w:sz="4" w:space="0" w:color="000000"/>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top w:val="single" w:sz="4" w:space="0" w:color="000000"/>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top w:val="single" w:sz="4" w:space="0" w:color="000000"/>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2.</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Количество котлов, шт</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lang w:bidi="ar-SA"/>
              </w:rPr>
              <w:t>9</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количества</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3.</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Температура воды на выходе из котла, не более,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140</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4.</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Температура воды на входе в котёл, не менее,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60</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5.</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Рабочее давление, МПа</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0,85</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6.</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Эксплуатационный КПД, не менее, % (без экономайзера)</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94</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7.</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jc w:val="left"/>
              <w:rPr>
                <w:sz w:val="18"/>
                <w:szCs w:val="18"/>
              </w:rPr>
            </w:pPr>
            <w:r>
              <w:rPr>
                <w:rFonts w:cs="Times New Roman"/>
                <w:kern w:val="0"/>
                <w:sz w:val="18"/>
                <w:szCs w:val="18"/>
                <w:lang w:val="ru-RU" w:bidi="ar-SA"/>
              </w:rPr>
              <w:t xml:space="preserve">Температура уходящих газов при работе на природном газе (без экономайзера), не более,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177</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8.</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Диапазон регулирования теплопроизводительности,</w:t>
            </w:r>
            <w:r>
              <w:rPr>
                <w:rFonts w:cs="Times New Roman"/>
                <w:kern w:val="0"/>
                <w:sz w:val="18"/>
                <w:szCs w:val="18"/>
                <w:lang w:bidi="ar-SA"/>
              </w:rPr>
              <w:t xml:space="preserve"> </w:t>
            </w:r>
            <w:r>
              <w:rPr>
                <w:rFonts w:cs="Times New Roman"/>
                <w:kern w:val="0"/>
                <w:sz w:val="18"/>
                <w:szCs w:val="18"/>
                <w:lang w:val="ru-RU" w:bidi="ar-SA"/>
              </w:rPr>
              <w:t>%</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bidi="ar-SA"/>
              </w:rPr>
              <w:t>1</w:t>
            </w:r>
            <w:r>
              <w:rPr>
                <w:rFonts w:cs="Times New Roman"/>
                <w:kern w:val="0"/>
                <w:sz w:val="18"/>
                <w:szCs w:val="18"/>
                <w:highlight w:val="white"/>
                <w:lang w:val="ru-RU" w:bidi="ar-SA"/>
              </w:rPr>
              <w:t>0-100</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9.</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Гидравлическое сопротивление, МПа, не более</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0,0</w:t>
            </w:r>
            <w:r>
              <w:rPr>
                <w:rFonts w:cs="Times New Roman"/>
                <w:kern w:val="0"/>
                <w:sz w:val="18"/>
                <w:szCs w:val="18"/>
                <w:highlight w:val="white"/>
                <w:lang w:bidi="ar-SA"/>
              </w:rPr>
              <w:t>1</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9.1</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Расход воды через котёл </w:t>
            </w:r>
            <w:r>
              <w:rPr>
                <w:rFonts w:cs="Times New Roman"/>
                <w:kern w:val="0"/>
                <w:sz w:val="18"/>
                <w:szCs w:val="18"/>
                <w:highlight w:val="white"/>
                <w:lang w:val="ru-RU" w:bidi="ar-SA"/>
              </w:rPr>
              <w:t>(</w:t>
            </w:r>
            <w:r>
              <w:rPr>
                <w:rFonts w:cs="Times New Roman"/>
                <w:kern w:val="0"/>
                <w:sz w:val="18"/>
                <w:szCs w:val="18"/>
                <w:highlight w:val="white"/>
                <w:lang w:bidi="ar-SA"/>
              </w:rPr>
              <w:t>min</w:t>
            </w:r>
            <w:r>
              <w:rPr>
                <w:rFonts w:cs="Times New Roman"/>
                <w:kern w:val="0"/>
                <w:sz w:val="18"/>
                <w:szCs w:val="18"/>
                <w:highlight w:val="white"/>
                <w:lang w:val="ru-RU" w:bidi="ar-SA"/>
              </w:rPr>
              <w:t>/</w:t>
            </w:r>
            <w:r>
              <w:rPr>
                <w:rFonts w:cs="Times New Roman"/>
                <w:kern w:val="0"/>
                <w:sz w:val="18"/>
                <w:szCs w:val="18"/>
                <w:highlight w:val="white"/>
                <w:lang w:bidi="ar-SA"/>
              </w:rPr>
              <w:t>max</w:t>
            </w:r>
            <w:r>
              <w:rPr>
                <w:rFonts w:cs="Times New Roman"/>
                <w:kern w:val="0"/>
                <w:sz w:val="18"/>
                <w:szCs w:val="18"/>
                <w:highlight w:val="white"/>
                <w:lang w:val="ru-RU" w:bidi="ar-SA"/>
              </w:rPr>
              <w:t>)</w:t>
            </w:r>
            <w:r>
              <w:rPr>
                <w:rFonts w:cs="Times New Roman"/>
                <w:kern w:val="0"/>
                <w:sz w:val="18"/>
                <w:szCs w:val="18"/>
                <w:lang w:val="ru-RU" w:bidi="ar-SA"/>
              </w:rPr>
              <w:t>, т/ч</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lang w:bidi="ar-SA"/>
              </w:rPr>
              <w:t>151/603</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10..</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Аэродинамическое сопротивление газового тракта котла, Па</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lang w:bidi="ar-SA"/>
              </w:rPr>
              <w:t>1394</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11.</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Допустимый уровень звука, создаваемый оборудованием комплектной поставки на расстоянии одного метра от основного, вспомогательного оборудования и среза дымовой трубы, дБ, не более</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rFonts w:ascii="Times New Roman" w:hAnsi="Times New Roman" w:cs="Times New Roman"/>
                <w:sz w:val="18"/>
                <w:szCs w:val="18"/>
              </w:rPr>
            </w:pPr>
            <w:r>
              <w:rPr>
                <w:rFonts w:cs="Times New Roman"/>
                <w:sz w:val="18"/>
                <w:szCs w:val="18"/>
              </w:rPr>
            </w:r>
          </w:p>
          <w:p>
            <w:pPr>
              <w:pStyle w:val="Normal"/>
              <w:widowControl w:val="false"/>
              <w:spacing w:lineRule="auto" w:line="240" w:before="0" w:after="200"/>
              <w:jc w:val="center"/>
              <w:rPr>
                <w:sz w:val="18"/>
                <w:szCs w:val="18"/>
              </w:rPr>
            </w:pPr>
            <w:r>
              <w:rPr>
                <w:rFonts w:cs="Times New Roman"/>
                <w:kern w:val="0"/>
                <w:sz w:val="18"/>
                <w:szCs w:val="18"/>
                <w:lang w:val="ru-RU" w:bidi="ar-SA"/>
              </w:rPr>
              <w:t>80</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12.</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highlight w:val="white"/>
                <w:lang w:val="ru-RU" w:bidi="ar-SA"/>
              </w:rPr>
              <w:t>Данные по котловой воде:</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rFonts w:ascii="Times New Roman" w:hAnsi="Times New Roman" w:cs="Times New Roman"/>
                <w:sz w:val="18"/>
                <w:szCs w:val="18"/>
                <w:highlight w:val="white"/>
              </w:rPr>
            </w:pPr>
            <w:r>
              <w:rPr>
                <w:rFonts w:cs="Times New Roman"/>
                <w:sz w:val="18"/>
                <w:szCs w:val="18"/>
                <w:highlight w:val="white"/>
              </w:rPr>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color w:val="000000"/>
                <w:kern w:val="0"/>
                <w:sz w:val="18"/>
                <w:szCs w:val="18"/>
              </w:rPr>
              <w:t>-//-</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12.1</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прозрачность по шрифту, см не менее</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30</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12.2</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Карбонатная жёсткость, мкг-экв/кг, не более</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700</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12.3</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растворённого кислорода, мкг/кг, не более</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50</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12.4</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соединений железа (в пересчёте на Fe), мкг/кг, не более</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500</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12.5</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 xml:space="preserve">значение рН при 25 </w:t>
            </w:r>
            <w:r>
              <w:rPr>
                <w:rFonts w:cs="Times New Roman"/>
                <w:kern w:val="0"/>
                <w:sz w:val="18"/>
                <w:szCs w:val="18"/>
                <w:highlight w:val="white"/>
                <w:vertAlign w:val="superscript"/>
                <w:lang w:val="ru-RU" w:bidi="ar-SA"/>
              </w:rPr>
              <w:t>о</w:t>
            </w:r>
            <w:r>
              <w:rPr>
                <w:rFonts w:cs="Times New Roman"/>
                <w:kern w:val="0"/>
                <w:sz w:val="18"/>
                <w:szCs w:val="18"/>
                <w:highlight w:val="white"/>
                <w:lang w:val="ru-RU" w:bidi="ar-SA"/>
              </w:rPr>
              <w:t>С</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7-11</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12.6</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свободная углекислота, мг/кг</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отсутствует</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Согласие с требованием</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12.7</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нефтепродуктов, мг/кг, не более</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highlight w:val="white"/>
                <w:lang w:val="ru-RU" w:bidi="ar-SA"/>
              </w:rPr>
              <w:t>Данные по конструкции:</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color w:val="000000"/>
                <w:kern w:val="0"/>
                <w:sz w:val="18"/>
                <w:szCs w:val="18"/>
              </w:rPr>
              <w:t>-//-</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color w:val="000000"/>
                <w:kern w:val="0"/>
                <w:sz w:val="18"/>
                <w:szCs w:val="18"/>
              </w:rPr>
              <w:t>-//-</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sz w:val="18"/>
                <w:szCs w:val="18"/>
              </w:rPr>
            </w:pPr>
            <w:r>
              <w:rPr>
                <w:b/>
                <w:color w:val="000000"/>
                <w:sz w:val="18"/>
                <w:szCs w:val="18"/>
              </w:rPr>
              <w:t>-//-</w:t>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13.1</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тип котла</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Водогрейный. Жаротрубный, трёхходовой, под наддувом</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13.2</w:t>
            </w:r>
          </w:p>
        </w:tc>
        <w:tc>
          <w:tcPr>
            <w:tcW w:w="3704" w:type="dxa"/>
            <w:tcBorders>
              <w:left w:val="single" w:sz="4" w:space="0" w:color="000000"/>
              <w:bottom w:val="single" w:sz="4" w:space="0" w:color="000000"/>
              <w:right w:val="nil"/>
            </w:tcBorders>
            <w:shd w:fill="FFFFFF" w:val="clear"/>
            <w:tcMar>
              <w:left w:w="55" w:type="dxa"/>
              <w:right w:w="55" w:type="dxa"/>
            </w:tcMar>
          </w:tcPr>
          <w:p>
            <w:pPr>
              <w:pStyle w:val="ListBullet"/>
              <w:widowControl w:val="false"/>
              <w:numPr>
                <w:ilvl w:val="0"/>
                <w:numId w:val="0"/>
              </w:numPr>
              <w:spacing w:lineRule="auto" w:line="240" w:before="0" w:after="0"/>
              <w:ind w:left="0" w:hanging="0"/>
              <w:contextualSpacing/>
              <w:jc w:val="left"/>
              <w:rPr>
                <w:sz w:val="18"/>
                <w:szCs w:val="18"/>
              </w:rPr>
            </w:pPr>
            <w:r>
              <w:rPr>
                <w:rFonts w:cs="Times New Roman"/>
                <w:kern w:val="0"/>
                <w:sz w:val="18"/>
                <w:szCs w:val="18"/>
                <w:highlight w:val="white"/>
                <w:lang w:val="ru-RU" w:bidi="ar-SA"/>
              </w:rPr>
              <w:t>габаритные размеры (Д×Ш×В), не более, мм</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6290х2680х2898</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13.3</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сухой вес котла, кг, не более</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jc w:val="center"/>
              <w:rPr>
                <w:sz w:val="18"/>
                <w:szCs w:val="18"/>
              </w:rPr>
            </w:pPr>
            <w:r>
              <w:rPr>
                <w:rFonts w:cs="Times New Roman"/>
                <w:kern w:val="0"/>
                <w:sz w:val="18"/>
                <w:szCs w:val="18"/>
                <w:lang w:bidi="ar-SA"/>
              </w:rPr>
              <w:t>21 076</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13.4</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вес котла с водой, кг, не более</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jc w:val="center"/>
              <w:rPr>
                <w:sz w:val="18"/>
                <w:szCs w:val="18"/>
              </w:rPr>
            </w:pPr>
            <w:r>
              <w:rPr>
                <w:rFonts w:cs="Times New Roman"/>
                <w:kern w:val="0"/>
                <w:sz w:val="18"/>
                <w:szCs w:val="18"/>
                <w:lang w:bidi="ar-SA"/>
              </w:rPr>
              <w:t>32 196</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13.5</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подача/обратка теплоносителя Ду, мм</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300</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val="false"/>
                <w:bCs w:val="false"/>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13.6</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предохранительные клапана Ду, мм</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125</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val="false"/>
                <w:bCs w:val="false"/>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13.7</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диаметр дымохода Ду, мм, не менее</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jc w:val="center"/>
              <w:rPr>
                <w:sz w:val="18"/>
                <w:szCs w:val="18"/>
              </w:rPr>
            </w:pPr>
            <w:r>
              <w:rPr>
                <w:rFonts w:cs="Times New Roman"/>
                <w:kern w:val="0"/>
                <w:sz w:val="18"/>
                <w:szCs w:val="18"/>
                <w:lang w:bidi="ar-SA"/>
              </w:rPr>
              <w:t>900</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val="false"/>
                <w:bCs w:val="false"/>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97"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13.8</w:t>
            </w:r>
          </w:p>
        </w:tc>
        <w:tc>
          <w:tcPr>
            <w:tcW w:w="3704" w:type="dxa"/>
            <w:tcBorders>
              <w:left w:val="single" w:sz="4" w:space="0" w:color="000000"/>
              <w:bottom w:val="single" w:sz="4" w:space="0" w:color="000000"/>
              <w:right w:val="nil"/>
            </w:tcBorders>
            <w:shd w:fill="FFFFFF" w:val="clear"/>
            <w:tcMar>
              <w:left w:w="55" w:type="dxa"/>
              <w:right w:w="55" w:type="dxa"/>
            </w:tcMar>
          </w:tcPr>
          <w:p>
            <w:pPr>
              <w:pStyle w:val="ListBullet"/>
              <w:widowControl w:val="false"/>
              <w:numPr>
                <w:ilvl w:val="0"/>
                <w:numId w:val="0"/>
              </w:numPr>
              <w:spacing w:lineRule="auto" w:line="240" w:before="0" w:after="200"/>
              <w:ind w:left="0" w:hanging="0"/>
              <w:contextualSpacing/>
              <w:jc w:val="left"/>
              <w:rPr>
                <w:sz w:val="18"/>
                <w:szCs w:val="18"/>
              </w:rPr>
            </w:pPr>
            <w:r>
              <w:rPr>
                <w:rFonts w:cs="Times New Roman"/>
                <w:kern w:val="0"/>
                <w:sz w:val="18"/>
                <w:szCs w:val="18"/>
                <w:highlight w:val="white"/>
                <w:lang w:val="ru-RU" w:bidi="ar-SA"/>
              </w:rPr>
              <w:t xml:space="preserve">наличие заводского теплоизоляционного покрытия с потерями тепла не выше 0,5 % от </w:t>
            </w:r>
            <w:r>
              <w:rPr>
                <w:rFonts w:cs="Times New Roman"/>
                <w:kern w:val="0"/>
                <w:sz w:val="18"/>
                <w:szCs w:val="18"/>
                <w:highlight w:val="white"/>
                <w:lang w:bidi="ar-SA"/>
              </w:rPr>
              <w:t>Q</w:t>
            </w:r>
          </w:p>
        </w:tc>
        <w:tc>
          <w:tcPr>
            <w:tcW w:w="1407" w:type="dxa"/>
            <w:tcBorders>
              <w:left w:val="single" w:sz="4" w:space="0" w:color="000000"/>
              <w:bottom w:val="single" w:sz="4" w:space="0" w:color="000000"/>
              <w:right w:val="nil"/>
            </w:tcBorders>
            <w:shd w:fill="FFFFFF" w:val="clear"/>
            <w:tcMar>
              <w:left w:w="55" w:type="dxa"/>
              <w:right w:w="55" w:type="dxa"/>
            </w:tcMar>
          </w:tcPr>
          <w:p>
            <w:pPr>
              <w:pStyle w:val="ListBullet"/>
              <w:widowControl w:val="false"/>
              <w:numPr>
                <w:ilvl w:val="0"/>
                <w:numId w:val="0"/>
              </w:numPr>
              <w:spacing w:lineRule="auto" w:line="240" w:before="0" w:after="200"/>
              <w:ind w:left="0" w:hanging="0"/>
              <w:contextualSpacing/>
              <w:jc w:val="center"/>
              <w:rPr>
                <w:sz w:val="18"/>
                <w:szCs w:val="18"/>
              </w:rPr>
            </w:pPr>
            <w:r>
              <w:rPr>
                <w:rFonts w:cs="Times New Roman"/>
                <w:kern w:val="0"/>
                <w:sz w:val="18"/>
                <w:szCs w:val="18"/>
                <w:highlight w:val="white"/>
                <w:lang w:val="ru-RU" w:bidi="ar-SA"/>
              </w:rPr>
              <w:t>обязательно</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Согласие с требованием</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13.9</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полное открытие фронтальной дверцы без демонтажа горелки</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Согласие с требованием</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13.10</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визуальный осмотр через смотровой глазок и люки</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Согласие с требованием</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97"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13.11</w:t>
            </w:r>
          </w:p>
        </w:tc>
        <w:tc>
          <w:tcPr>
            <w:tcW w:w="3704" w:type="dxa"/>
            <w:tcBorders>
              <w:left w:val="single" w:sz="4" w:space="0" w:color="000000"/>
              <w:bottom w:val="single" w:sz="4" w:space="0" w:color="000000"/>
              <w:right w:val="nil"/>
            </w:tcBorders>
            <w:shd w:fill="FFFFFF" w:val="clear"/>
            <w:tcMar>
              <w:left w:w="55" w:type="dxa"/>
              <w:right w:w="55" w:type="dxa"/>
            </w:tcMar>
          </w:tcPr>
          <w:p>
            <w:pPr>
              <w:pStyle w:val="ListBullet"/>
              <w:widowControl w:val="false"/>
              <w:numPr>
                <w:ilvl w:val="0"/>
                <w:numId w:val="0"/>
              </w:numPr>
              <w:spacing w:lineRule="auto" w:line="240" w:before="0" w:after="200"/>
              <w:ind w:left="0" w:hanging="0"/>
              <w:contextualSpacing/>
              <w:jc w:val="left"/>
              <w:rPr>
                <w:sz w:val="18"/>
                <w:szCs w:val="18"/>
              </w:rPr>
            </w:pPr>
            <w:r>
              <w:rPr>
                <w:rFonts w:cs="Times New Roman"/>
                <w:kern w:val="0"/>
                <w:sz w:val="18"/>
                <w:szCs w:val="18"/>
                <w:highlight w:val="white"/>
                <w:lang w:val="ru-RU" w:bidi="ar-SA"/>
              </w:rPr>
              <w:t>жаровая труба — гладкостенная, полностью омываемая теплоносителем. Сталь 09Г2С</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Согласие с требованием</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13.12</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lang w:val="ru-RU" w:bidi="ar-SA"/>
              </w:rPr>
              <w:t>прочная база на стальных опорах, возможность установки без фундамента</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lang w:val="ru-RU" w:bidi="ar-SA"/>
              </w:rPr>
              <w:t>обязательно</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Согласие с требованием</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bidi="ar-SA"/>
              </w:rPr>
              <w:t>13.13</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слив воды с котла</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lang w:val="ru-RU" w:bidi="ar-SA"/>
              </w:rPr>
              <w:t>самослив</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Согласие с требованием</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shd w:fill="auto" w:val="clear"/>
                <w:lang w:bidi="ar-SA"/>
              </w:rPr>
              <w:t>13.14</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shd w:fill="auto" w:val="clear"/>
                <w:lang w:val="ru-RU" w:bidi="ar-SA"/>
              </w:rPr>
              <w:t xml:space="preserve">наличие двух торосферических днищ: в огневой камере    и корпусе котла </w:t>
            </w:r>
            <w:r>
              <w:rPr>
                <w:rFonts w:cs="Times New Roman"/>
                <w:kern w:val="0"/>
                <w:sz w:val="18"/>
                <w:szCs w:val="18"/>
                <w:shd w:fill="auto" w:val="clear"/>
                <w:vertAlign w:val="superscript"/>
                <w:lang w:val="ru-RU" w:bidi="ar-SA"/>
              </w:rPr>
              <w:t>*)</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shd w:fill="auto" w:val="clear"/>
                <w:lang w:val="ru-RU" w:bidi="ar-SA"/>
              </w:rPr>
              <w:t>обязательно</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Согласие с требованием</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shd w:fill="auto" w:val="clear"/>
                <w:lang w:bidi="ar-SA"/>
              </w:rPr>
              <w:t>13.15</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shd w:fill="auto" w:val="clear"/>
                <w:lang w:val="ru-RU" w:bidi="ar-SA"/>
              </w:rPr>
              <w:t xml:space="preserve">многослойная теплоизоляция фронтальной двери котла с применением жаропрочного бетона и минераловатных материалов </w:t>
            </w:r>
            <w:r>
              <w:rPr>
                <w:rFonts w:cs="Times New Roman"/>
                <w:kern w:val="0"/>
                <w:sz w:val="18"/>
                <w:szCs w:val="18"/>
                <w:shd w:fill="auto" w:val="clear"/>
                <w:vertAlign w:val="superscript"/>
                <w:lang w:val="ru-RU" w:bidi="ar-SA"/>
              </w:rPr>
              <w:t>**)</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rFonts w:cs="Times New Roman"/>
                <w:kern w:val="0"/>
                <w:sz w:val="18"/>
                <w:szCs w:val="18"/>
                <w:shd w:fill="auto" w:val="clear"/>
                <w:lang w:val="ru-RU" w:bidi="ar-SA"/>
              </w:rPr>
              <w:t>обязательно</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Согласие с требованием</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bidi="ar-SA"/>
              </w:rPr>
              <w:t>14.</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Комплект поставки:</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sz w:val="18"/>
                <w:szCs w:val="18"/>
              </w:rPr>
              <w:t>полный</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bidi="ar-SA"/>
              </w:rPr>
              <w:t>14.1</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uppressAutoHyphens w:val="true"/>
              <w:spacing w:lineRule="auto" w:line="240" w:before="0" w:after="200"/>
              <w:ind w:left="0" w:hanging="0"/>
              <w:jc w:val="left"/>
              <w:rPr>
                <w:color w:val="000000"/>
                <w:sz w:val="18"/>
                <w:szCs w:val="18"/>
              </w:rPr>
            </w:pPr>
            <w:r>
              <w:rPr>
                <w:rFonts w:cs="Times New Roman"/>
                <w:b w:val="false"/>
                <w:i w:val="false"/>
                <w:strike w:val="false"/>
                <w:dstrike w:val="false"/>
                <w:color w:val="000000"/>
                <w:kern w:val="0"/>
                <w:sz w:val="18"/>
                <w:szCs w:val="18"/>
                <w:highlight w:val="white"/>
                <w:u w:val="none"/>
                <w:shd w:fill="FFFF00" w:val="clear"/>
                <w:lang w:val="ru-RU" w:bidi="ar-SA"/>
              </w:rPr>
              <w:t>Котел — 9 комплектов</w:t>
            </w:r>
          </w:p>
          <w:p>
            <w:pPr>
              <w:pStyle w:val="Normal"/>
              <w:widowControl w:val="false"/>
              <w:suppressAutoHyphens w:val="true"/>
              <w:spacing w:lineRule="auto" w:line="240" w:before="0" w:after="200"/>
              <w:ind w:left="0" w:hanging="0"/>
              <w:jc w:val="left"/>
              <w:rPr>
                <w:color w:val="000000"/>
                <w:sz w:val="18"/>
                <w:szCs w:val="18"/>
              </w:rPr>
            </w:pPr>
            <w:r>
              <w:rPr>
                <w:rFonts w:cs="Times New Roman"/>
                <w:b w:val="false"/>
                <w:i w:val="false"/>
                <w:strike w:val="false"/>
                <w:dstrike w:val="false"/>
                <w:color w:val="000000"/>
                <w:kern w:val="0"/>
                <w:sz w:val="18"/>
                <w:szCs w:val="18"/>
                <w:highlight w:val="white"/>
                <w:u w:val="none"/>
                <w:shd w:fill="FFFF00" w:val="clear"/>
                <w:lang w:val="ru-RU" w:bidi="ar-SA"/>
              </w:rPr>
              <w:t>с установленным оборудованием и приборами безопасности:</w:t>
            </w:r>
          </w:p>
          <w:p>
            <w:pPr>
              <w:pStyle w:val="Normal"/>
              <w:widowControl w:val="false"/>
              <w:spacing w:lineRule="auto" w:line="240" w:before="0" w:after="200"/>
              <w:ind w:left="0" w:hanging="0"/>
              <w:jc w:val="left"/>
              <w:rPr>
                <w:sz w:val="18"/>
                <w:szCs w:val="18"/>
              </w:rPr>
            </w:pPr>
            <w:r>
              <w:rPr>
                <w:rFonts w:cs="Times New Roman"/>
                <w:b w:val="false"/>
                <w:i w:val="false"/>
                <w:strike w:val="false"/>
                <w:dstrike w:val="false"/>
                <w:color w:val="000000"/>
                <w:kern w:val="0"/>
                <w:sz w:val="18"/>
                <w:szCs w:val="18"/>
                <w:highlight w:val="white"/>
                <w:u w:val="none"/>
                <w:lang w:val="ru-RU" w:bidi="ar-SA"/>
              </w:rPr>
              <w:t>Ф</w:t>
            </w:r>
            <w:r>
              <w:rPr>
                <w:b w:val="false"/>
                <w:i w:val="false"/>
                <w:strike w:val="false"/>
                <w:dstrike w:val="false"/>
                <w:color w:val="000000"/>
                <w:kern w:val="0"/>
                <w:sz w:val="18"/>
                <w:szCs w:val="18"/>
                <w:u w:val="none"/>
              </w:rPr>
              <w:t>ланец под горелку комбинированную (газ/диз.топливо) "Бернар"  Q=2500-15200кВт., В комплекте с жидкотопливной насосной группой. Под установку горелки на котле</w:t>
            </w:r>
            <w:r>
              <w:rPr>
                <w:rFonts w:cs="Times New Roman"/>
                <w:b w:val="false"/>
                <w:i w:val="false"/>
                <w:strike w:val="false"/>
                <w:dstrike w:val="false"/>
                <w:color w:val="000000"/>
                <w:kern w:val="0"/>
                <w:sz w:val="18"/>
                <w:szCs w:val="18"/>
                <w:highlight w:val="white"/>
                <w:u w:val="none"/>
              </w:rPr>
              <w:t xml:space="preserve"> -9 шт. или эквивалент</w:t>
            </w:r>
          </w:p>
          <w:p>
            <w:pPr>
              <w:pStyle w:val="Normal"/>
              <w:widowControl w:val="false"/>
              <w:spacing w:lineRule="auto" w:line="240"/>
              <w:jc w:val="left"/>
              <w:rPr>
                <w:sz w:val="18"/>
                <w:szCs w:val="18"/>
              </w:rPr>
            </w:pPr>
            <w:r>
              <w:rPr>
                <w:b w:val="false"/>
                <w:i w:val="false"/>
                <w:strike w:val="false"/>
                <w:dstrike w:val="false"/>
                <w:color w:val="000000"/>
                <w:kern w:val="0"/>
                <w:sz w:val="18"/>
                <w:szCs w:val="18"/>
                <w:u w:val="none"/>
              </w:rPr>
              <w:t xml:space="preserve"> </w:t>
            </w:r>
            <w:r>
              <w:rPr>
                <w:b w:val="false"/>
                <w:i w:val="false"/>
                <w:strike w:val="false"/>
                <w:dstrike w:val="false"/>
                <w:color w:val="000000"/>
                <w:kern w:val="0"/>
                <w:sz w:val="18"/>
                <w:szCs w:val="18"/>
                <w:u w:val="none"/>
              </w:rPr>
              <w:t>Блок термостатов для водогрейного котла до 160 С  (перегретая вода)  для ЭНТРОМАТИК или эквивалент — 9 шт.</w:t>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b w:val="false"/>
                <w:i w:val="false"/>
                <w:strike w:val="false"/>
                <w:dstrike w:val="false"/>
                <w:color w:val="000000"/>
                <w:kern w:val="0"/>
                <w:sz w:val="18"/>
                <w:szCs w:val="18"/>
                <w:u w:val="none"/>
              </w:rPr>
              <w:t>Гильза, ОВЕН или эквивалент- Защита термостата — 27 шт.</w:t>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b w:val="false"/>
                <w:i w:val="false"/>
                <w:strike w:val="false"/>
                <w:dstrike w:val="false"/>
                <w:color w:val="000000"/>
                <w:kern w:val="0"/>
                <w:sz w:val="18"/>
                <w:szCs w:val="18"/>
                <w:u w:val="none"/>
              </w:rPr>
              <w:t>Термопреобразователь, ОВЕН или эквивалент-Датчик температуры ТКО/ТКП</w:t>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b w:val="false"/>
                <w:i w:val="false"/>
                <w:strike w:val="false"/>
                <w:dstrike w:val="false"/>
                <w:color w:val="000000"/>
                <w:kern w:val="0"/>
                <w:sz w:val="18"/>
                <w:szCs w:val="18"/>
                <w:u w:val="none"/>
              </w:rPr>
              <w:t>Гильза, ОВЕН или эквивалент- Для датчика температуры- 18 шт.</w:t>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b w:val="false"/>
                <w:i w:val="false"/>
                <w:strike w:val="false"/>
                <w:dstrike w:val="false"/>
                <w:color w:val="000000"/>
                <w:kern w:val="0"/>
                <w:sz w:val="18"/>
                <w:szCs w:val="18"/>
                <w:u w:val="none"/>
              </w:rPr>
              <w:t>Термопреобразователь, ОВЕН или эквивалент-Датчик температуры стратегии</w:t>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b w:val="false"/>
                <w:i w:val="false"/>
                <w:strike w:val="false"/>
                <w:dstrike w:val="false"/>
                <w:color w:val="000000"/>
                <w:kern w:val="0"/>
                <w:sz w:val="18"/>
                <w:szCs w:val="18"/>
                <w:u w:val="none"/>
              </w:rPr>
              <w:t>Гильза, ОВЕН или эквивалент- Датчик температуры стратегии -18 шт.</w:t>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b w:val="false"/>
                <w:i w:val="false"/>
                <w:strike w:val="false"/>
                <w:dstrike w:val="false"/>
                <w:color w:val="000000"/>
                <w:kern w:val="0"/>
                <w:sz w:val="18"/>
                <w:szCs w:val="18"/>
                <w:u w:val="none"/>
              </w:rPr>
              <w:t>Реле давления РИДАН или эквивалент — 9 шт.</w:t>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b w:val="false"/>
                <w:i w:val="false"/>
                <w:strike w:val="false"/>
                <w:dstrike w:val="false"/>
                <w:color w:val="000000"/>
                <w:kern w:val="0"/>
                <w:sz w:val="18"/>
                <w:szCs w:val="18"/>
                <w:u w:val="none"/>
              </w:rPr>
              <w:t>Реле давления РИДАН или эквивалент — 9 шт</w:t>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sz w:val="18"/>
                <w:szCs w:val="18"/>
              </w:rPr>
            </w:r>
          </w:p>
          <w:p>
            <w:pPr>
              <w:pStyle w:val="Normal"/>
              <w:widowControl w:val="false"/>
              <w:spacing w:lineRule="auto" w:line="240"/>
              <w:jc w:val="left"/>
              <w:rPr>
                <w:sz w:val="18"/>
                <w:szCs w:val="18"/>
              </w:rPr>
            </w:pPr>
            <w:r>
              <w:rPr>
                <w:b w:val="false"/>
                <w:i w:val="false"/>
                <w:strike w:val="false"/>
                <w:dstrike w:val="false"/>
                <w:color w:val="000000"/>
                <w:kern w:val="0"/>
                <w:sz w:val="18"/>
                <w:szCs w:val="18"/>
                <w:u w:val="none"/>
              </w:rPr>
              <w:t xml:space="preserve">   </w:t>
            </w:r>
            <w:r>
              <w:rPr>
                <w:b w:val="false"/>
                <w:i w:val="false"/>
                <w:strike w:val="false"/>
                <w:dstrike w:val="false"/>
                <w:color w:val="000000"/>
                <w:kern w:val="0"/>
                <w:sz w:val="18"/>
                <w:szCs w:val="18"/>
                <w:u w:val="none"/>
              </w:rPr>
              <w:t>Автоматика ЭНТРОМАТИК или эквивалент- система управления- 9 шт.</w:t>
            </w:r>
          </w:p>
          <w:p>
            <w:pPr>
              <w:pStyle w:val="Normal"/>
              <w:widowControl w:val="false"/>
              <w:spacing w:lineRule="auto" w:line="240"/>
              <w:jc w:val="left"/>
              <w:rPr>
                <w:rFonts w:ascii="Times New Roman" w:hAnsi="Times New Roman"/>
                <w:b w:val="false"/>
                <w:i w:val="false"/>
                <w:i w:val="false"/>
                <w:strike w:val="false"/>
                <w:dstrike w:val="false"/>
                <w:color w:val="000000"/>
                <w:sz w:val="18"/>
                <w:szCs w:val="18"/>
                <w:u w:val="none"/>
              </w:rPr>
            </w:pPr>
            <w:r>
              <w:rPr>
                <w:b w:val="false"/>
                <w:i w:val="false"/>
                <w:strike w:val="false"/>
                <w:dstrike w:val="false"/>
                <w:color w:val="000000"/>
                <w:sz w:val="18"/>
                <w:szCs w:val="18"/>
                <w:u w:val="none"/>
              </w:rPr>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highlight w:val="none"/>
                <w:shd w:fill="auto" w:val="clear"/>
              </w:rPr>
            </w:pPr>
            <w:r>
              <w:rPr>
                <w:sz w:val="18"/>
                <w:szCs w:val="18"/>
                <w:shd w:fill="auto" w:val="clear"/>
              </w:rPr>
            </w:r>
          </w:p>
          <w:p>
            <w:pPr>
              <w:pStyle w:val="Normal"/>
              <w:widowControl w:val="false"/>
              <w:spacing w:lineRule="auto" w:line="240" w:before="0" w:after="200"/>
              <w:jc w:val="left"/>
              <w:rPr>
                <w:rFonts w:ascii="Times New Roman" w:hAnsi="Times New Roman" w:cs="Times New Roman"/>
                <w:sz w:val="18"/>
                <w:szCs w:val="18"/>
                <w:highlight w:val="none"/>
                <w:shd w:fill="auto" w:val="clear"/>
              </w:rPr>
            </w:pPr>
            <w:r>
              <w:rPr>
                <w:rFonts w:cs="Times New Roman"/>
                <w:sz w:val="18"/>
                <w:szCs w:val="18"/>
                <w:shd w:fill="auto" w:val="clear"/>
              </w:rPr>
            </w:r>
          </w:p>
          <w:p>
            <w:pPr>
              <w:pStyle w:val="Normal"/>
              <w:widowControl w:val="false"/>
              <w:spacing w:lineRule="auto" w:line="240" w:before="0" w:after="200"/>
              <w:ind w:left="0" w:hanging="0"/>
              <w:jc w:val="left"/>
              <w:rPr>
                <w:sz w:val="18"/>
                <w:szCs w:val="18"/>
                <w:highlight w:val="none"/>
                <w:shd w:fill="auto" w:val="clear"/>
              </w:rPr>
            </w:pPr>
            <w:r>
              <w:rPr>
                <w:rFonts w:cs="Times New Roman"/>
                <w:b w:val="false"/>
                <w:i w:val="false"/>
                <w:strike w:val="false"/>
                <w:dstrike w:val="false"/>
                <w:color w:val="000000"/>
                <w:kern w:val="0"/>
                <w:sz w:val="18"/>
                <w:szCs w:val="18"/>
                <w:u w:val="none"/>
                <w:shd w:fill="auto" w:val="clear"/>
              </w:rPr>
              <w:t>НRX2050 МG.MD.S.RU.A.8.100.EI</w:t>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rFonts w:cs="Times New Roman"/>
                <w:b w:val="false"/>
                <w:i w:val="false"/>
                <w:strike w:val="false"/>
                <w:dstrike w:val="false"/>
                <w:color w:val="000000"/>
                <w:kern w:val="0"/>
                <w:sz w:val="18"/>
                <w:szCs w:val="18"/>
                <w:u w:val="none"/>
                <w:shd w:fill="auto" w:val="clear"/>
                <w:lang w:val="ru-RU" w:bidi="ar-SA"/>
              </w:rPr>
              <w:t>Т</w:t>
            </w:r>
            <w:r>
              <w:rPr>
                <w:rFonts w:cs="Times New Roman"/>
                <w:b w:val="false"/>
                <w:i w:val="false"/>
                <w:strike w:val="false"/>
                <w:dstrike w:val="false"/>
                <w:color w:val="000000"/>
                <w:kern w:val="0"/>
                <w:sz w:val="18"/>
                <w:szCs w:val="18"/>
                <w:u w:val="none"/>
                <w:shd w:fill="auto" w:val="clear"/>
              </w:rPr>
              <w:t>Р 160</w:t>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b/>
                <w:bCs/>
              </w:rPr>
            </w:pPr>
            <w:r>
              <w:rPr>
                <w:rFonts w:cs="Times New Roman"/>
                <w:b/>
                <w:bCs/>
                <w:i w:val="false"/>
                <w:strike w:val="false"/>
                <w:dstrike w:val="false"/>
                <w:color w:val="000000"/>
                <w:kern w:val="0"/>
                <w:sz w:val="18"/>
                <w:szCs w:val="18"/>
                <w:u w:val="none"/>
                <w:shd w:fill="auto" w:val="clear"/>
              </w:rPr>
              <w:t>ГЗ.16.3.3.200</w:t>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rFonts w:cs="Times New Roman"/>
                <w:b w:val="false"/>
                <w:i w:val="false"/>
                <w:strike w:val="false"/>
                <w:dstrike w:val="false"/>
                <w:color w:val="000000"/>
                <w:kern w:val="0"/>
                <w:sz w:val="18"/>
                <w:szCs w:val="18"/>
                <w:u w:val="none"/>
                <w:shd w:fill="auto" w:val="clear"/>
              </w:rPr>
              <w:t>ДТС024-РТ1000.В2.30/1</w:t>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b/>
                <w:bCs/>
              </w:rPr>
            </w:pPr>
            <w:r>
              <w:rPr>
                <w:rFonts w:cs="Times New Roman"/>
                <w:b/>
                <w:bCs/>
                <w:i w:val="false"/>
                <w:strike w:val="false"/>
                <w:dstrike w:val="false"/>
                <w:color w:val="000000"/>
                <w:kern w:val="0"/>
                <w:sz w:val="18"/>
                <w:szCs w:val="18"/>
                <w:u w:val="none"/>
                <w:shd w:fill="auto" w:val="clear"/>
              </w:rPr>
              <w:t>ГЗ.16.3.3.160</w:t>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rFonts w:cs="Times New Roman"/>
                <w:b w:val="false"/>
                <w:i w:val="false"/>
                <w:strike w:val="false"/>
                <w:dstrike w:val="false"/>
                <w:color w:val="000000"/>
                <w:kern w:val="0"/>
                <w:sz w:val="18"/>
                <w:szCs w:val="18"/>
                <w:u w:val="none"/>
                <w:shd w:fill="auto" w:val="clear"/>
              </w:rPr>
              <w:t>ДТС024-РТ1000.В2.30/1</w:t>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b/>
                <w:bCs/>
              </w:rPr>
            </w:pPr>
            <w:r>
              <w:rPr>
                <w:rFonts w:cs="Times New Roman"/>
                <w:b/>
                <w:bCs/>
                <w:i w:val="false"/>
                <w:strike w:val="false"/>
                <w:dstrike w:val="false"/>
                <w:color w:val="000000"/>
                <w:kern w:val="0"/>
                <w:sz w:val="18"/>
                <w:szCs w:val="18"/>
                <w:u w:val="none"/>
                <w:shd w:fill="auto" w:val="clear"/>
              </w:rPr>
              <w:t>ГЗ.16.3.3.400</w:t>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rFonts w:cs="Times New Roman"/>
                <w:b w:val="false"/>
                <w:i w:val="false"/>
                <w:strike w:val="false"/>
                <w:dstrike w:val="false"/>
                <w:color w:val="000000"/>
                <w:kern w:val="0"/>
                <w:sz w:val="18"/>
                <w:szCs w:val="18"/>
                <w:u w:val="none"/>
                <w:shd w:fill="auto" w:val="clear"/>
              </w:rPr>
              <w:t>KPI-35R(-0,2...7,5 бар) G1/2- Реле минимального давления</w:t>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rFonts w:cs="Times New Roman"/>
                <w:b w:val="false"/>
                <w:i w:val="false"/>
                <w:strike w:val="false"/>
                <w:dstrike w:val="false"/>
                <w:color w:val="000000"/>
                <w:kern w:val="0"/>
                <w:sz w:val="18"/>
                <w:szCs w:val="18"/>
                <w:u w:val="none"/>
                <w:shd w:fill="auto" w:val="clear"/>
              </w:rPr>
              <w:t>KPI-35R(2...14 бар) G1/4- Реле максимального давления</w:t>
            </w:r>
          </w:p>
          <w:p>
            <w:pPr>
              <w:pStyle w:val="Normal"/>
              <w:widowControl w:val="false"/>
              <w:spacing w:lineRule="auto" w:line="240"/>
              <w:jc w:val="left"/>
              <w:rPr>
                <w:sz w:val="18"/>
                <w:szCs w:val="18"/>
                <w:highlight w:val="none"/>
                <w:shd w:fill="auto" w:val="clear"/>
              </w:rPr>
            </w:pPr>
            <w:r>
              <w:rPr>
                <w:sz w:val="18"/>
                <w:szCs w:val="18"/>
                <w:shd w:fill="auto" w:val="clear"/>
              </w:rPr>
            </w:r>
          </w:p>
          <w:p>
            <w:pPr>
              <w:pStyle w:val="Normal"/>
              <w:widowControl w:val="false"/>
              <w:spacing w:lineRule="auto" w:line="240"/>
              <w:jc w:val="left"/>
              <w:rPr>
                <w:sz w:val="18"/>
                <w:szCs w:val="18"/>
                <w:highlight w:val="none"/>
                <w:shd w:fill="auto" w:val="clear"/>
              </w:rPr>
            </w:pPr>
            <w:r>
              <w:rPr>
                <w:rFonts w:cs="Times New Roman"/>
                <w:b w:val="false"/>
                <w:i w:val="false"/>
                <w:strike w:val="false"/>
                <w:dstrike w:val="false"/>
                <w:color w:val="000000"/>
                <w:kern w:val="0"/>
                <w:sz w:val="18"/>
                <w:szCs w:val="18"/>
                <w:u w:val="none"/>
                <w:shd w:fill="auto" w:val="clear"/>
              </w:rPr>
              <w:t>120MS</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наименования, характеристик, количества</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rFonts w:eastAsia="Times New Roman" w:cs="Times New Roman"/>
                <w:b/>
                <w:kern w:val="0"/>
                <w:sz w:val="18"/>
                <w:szCs w:val="18"/>
                <w:shd w:fill="auto" w:val="clear"/>
                <w:lang w:val="ru-RU" w:eastAsia="ru-RU"/>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bidi="ar-SA"/>
              </w:rPr>
              <w:t>15.2</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ind w:left="0" w:hanging="0"/>
              <w:jc w:val="left"/>
              <w:rPr>
                <w:sz w:val="18"/>
                <w:szCs w:val="18"/>
              </w:rPr>
            </w:pPr>
            <w:r>
              <w:rPr>
                <w:rFonts w:cs="Times New Roman"/>
                <w:kern w:val="0"/>
                <w:sz w:val="18"/>
                <w:szCs w:val="18"/>
                <w:lang w:val="ru-RU" w:bidi="ar-SA"/>
              </w:rPr>
              <w:t>эксплуатационная документация</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center"/>
              <w:rPr>
                <w:sz w:val="18"/>
                <w:szCs w:val="18"/>
              </w:rPr>
            </w:pPr>
            <w:r>
              <w:rPr>
                <w:sz w:val="18"/>
                <w:szCs w:val="18"/>
              </w:rPr>
              <w:t>Наличие</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Согласие с требованием</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16.</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kern w:val="0"/>
                <w:sz w:val="18"/>
                <w:szCs w:val="18"/>
                <w:lang w:val="ru-RU" w:bidi="ar-SA"/>
              </w:rPr>
              <w:t>Требования по надёжности:</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color w:val="000000"/>
                <w:kern w:val="0"/>
                <w:sz w:val="18"/>
                <w:szCs w:val="18"/>
              </w:rPr>
              <w:t>-//-</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bidi="ar-SA"/>
              </w:rPr>
              <w:t>16.1</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Назначенный ресурс, не менее, ч</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200 000</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bidi="ar-SA"/>
              </w:rPr>
              <w:t>16.2</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Назначенный срок службы, не менее, лет</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25</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Указание характеристик</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r>
        <w:trPr>
          <w:trHeight w:val="476" w:hRule="atLeast"/>
        </w:trPr>
        <w:tc>
          <w:tcPr>
            <w:tcW w:w="730"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200"/>
              <w:jc w:val="left"/>
              <w:rPr>
                <w:sz w:val="18"/>
                <w:szCs w:val="18"/>
              </w:rPr>
            </w:pPr>
            <w:r>
              <w:rPr>
                <w:rFonts w:cs="Times New Roman"/>
                <w:i/>
                <w:kern w:val="0"/>
                <w:sz w:val="18"/>
                <w:szCs w:val="18"/>
                <w:lang w:val="ru-RU" w:bidi="ar-SA"/>
              </w:rPr>
              <w:t>16.3</w:t>
            </w:r>
          </w:p>
        </w:tc>
        <w:tc>
          <w:tcPr>
            <w:tcW w:w="3704"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Количество пусков из холодного состояния</w:t>
            </w:r>
          </w:p>
        </w:tc>
        <w:tc>
          <w:tcPr>
            <w:tcW w:w="140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before="0" w:after="0"/>
              <w:jc w:val="center"/>
              <w:rPr>
                <w:sz w:val="18"/>
                <w:szCs w:val="18"/>
              </w:rPr>
            </w:pPr>
            <w:r>
              <w:rPr>
                <w:rFonts w:cs="Times New Roman"/>
                <w:kern w:val="0"/>
                <w:sz w:val="18"/>
                <w:szCs w:val="18"/>
                <w:lang w:val="ru-RU" w:bidi="ar-SA"/>
              </w:rPr>
              <w:t>Не ограничено</w:t>
            </w:r>
          </w:p>
        </w:tc>
        <w:tc>
          <w:tcPr>
            <w:tcW w:w="1237"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color w:val="000000"/>
                <w:kern w:val="0"/>
                <w:sz w:val="18"/>
                <w:szCs w:val="18"/>
              </w:rPr>
              <w:t>Согласие с требованием</w:t>
            </w:r>
          </w:p>
        </w:tc>
        <w:tc>
          <w:tcPr>
            <w:tcW w:w="1359" w:type="dxa"/>
            <w:tcBorders>
              <w:left w:val="single" w:sz="4" w:space="0" w:color="000000"/>
              <w:bottom w:val="single" w:sz="4" w:space="0" w:color="000000"/>
              <w:right w:val="nil"/>
            </w:tcBorders>
            <w:shd w:fill="FFFFFF" w:val="clear"/>
            <w:tcMar>
              <w:left w:w="55" w:type="dxa"/>
              <w:right w:w="55" w:type="dxa"/>
            </w:tcMar>
          </w:tcPr>
          <w:p>
            <w:pPr>
              <w:pStyle w:val="Normal"/>
              <w:widowControl w:val="false"/>
              <w:spacing w:lineRule="auto" w:line="240"/>
              <w:rPr>
                <w:sz w:val="18"/>
                <w:szCs w:val="18"/>
              </w:rPr>
            </w:pPr>
            <w:r>
              <w:rPr>
                <w:b/>
                <w:kern w:val="0"/>
                <w:sz w:val="18"/>
                <w:szCs w:val="18"/>
              </w:rPr>
              <w:t>-//-</w:t>
            </w:r>
          </w:p>
        </w:tc>
        <w:tc>
          <w:tcPr>
            <w:tcW w:w="1544" w:type="dxa"/>
            <w:tcBorders>
              <w:left w:val="single" w:sz="4" w:space="0" w:color="000000"/>
              <w:bottom w:val="single" w:sz="4" w:space="0" w:color="000000"/>
            </w:tcBorders>
            <w:shd w:fill="FFFFFF" w:val="clear"/>
            <w:tcMar>
              <w:left w:w="55" w:type="dxa"/>
              <w:right w:w="55" w:type="dxa"/>
            </w:tcMar>
          </w:tcPr>
          <w:p>
            <w:pPr>
              <w:pStyle w:val="Normal"/>
              <w:widowControl w:val="false"/>
              <w:spacing w:lineRule="auto" w:line="240"/>
              <w:rPr>
                <w:kern w:val="0"/>
                <w:sz w:val="18"/>
                <w:szCs w:val="18"/>
              </w:rPr>
            </w:pPr>
            <w:r>
              <w:rPr>
                <w:kern w:val="0"/>
                <w:sz w:val="18"/>
                <w:szCs w:val="18"/>
              </w:rPr>
            </w:r>
          </w:p>
        </w:tc>
      </w:tr>
    </w:tbl>
    <w:p>
      <w:pPr>
        <w:pStyle w:val="Normal"/>
        <w:spacing w:lineRule="auto" w:line="240" w:before="0" w:after="0"/>
        <w:ind w:left="709" w:hanging="0"/>
        <w:jc w:val="both"/>
        <w:rPr>
          <w:rFonts w:ascii="Times New Roman" w:hAnsi="Times New Roman"/>
          <w:sz w:val="28"/>
          <w:szCs w:val="28"/>
          <w:highlight w:val="none"/>
          <w:shd w:fill="auto" w:val="clear"/>
        </w:rPr>
      </w:pPr>
      <w:r>
        <w:rPr>
          <w:sz w:val="28"/>
          <w:szCs w:val="28"/>
          <w:shd w:fill="auto" w:val="clear"/>
        </w:rPr>
      </w:r>
    </w:p>
    <w:p>
      <w:pPr>
        <w:pStyle w:val="Normal"/>
        <w:spacing w:lineRule="auto" w:line="240" w:before="0" w:after="0"/>
        <w:ind w:left="0" w:hanging="0"/>
        <w:jc w:val="both"/>
        <w:rPr>
          <w:sz w:val="22"/>
          <w:szCs w:val="22"/>
        </w:rPr>
      </w:pPr>
      <w:r>
        <w:rPr>
          <w:rFonts w:cs="Times New Roman"/>
          <w:sz w:val="22"/>
          <w:szCs w:val="22"/>
          <w:shd w:fill="auto" w:val="clear"/>
          <w:vertAlign w:val="superscript"/>
          <w:lang w:val="ru-RU"/>
        </w:rPr>
        <w:t>)</w:t>
      </w:r>
      <w:r>
        <w:rPr>
          <w:rFonts w:cs="Times New Roman"/>
          <w:sz w:val="22"/>
          <w:szCs w:val="22"/>
          <w:shd w:fill="auto" w:val="clear"/>
          <w:lang w:val="ru-RU"/>
        </w:rPr>
        <w:t xml:space="preserve"> - Применение торосферических днищ должно обеспечивать повышение прочности конструкции, равномерное распределение механических и температурных нагрузок, снижение концентрации напряжений в зонах сварных соединений, а так же увеличение срока службы оборудования при эксплуатации в условиях переменных тепловых нагрузок.</w:t>
      </w:r>
    </w:p>
    <w:p>
      <w:pPr>
        <w:pStyle w:val="Normal"/>
        <w:spacing w:lineRule="auto" w:line="240" w:before="0" w:after="0"/>
        <w:ind w:hanging="0"/>
        <w:rPr>
          <w:sz w:val="22"/>
          <w:szCs w:val="22"/>
        </w:rPr>
      </w:pPr>
      <w:r>
        <w:rPr>
          <w:rFonts w:cs="Times New Roman"/>
          <w:sz w:val="22"/>
          <w:szCs w:val="22"/>
          <w:shd w:fill="auto" w:val="clear"/>
          <w:lang w:val="ru-RU"/>
        </w:rPr>
        <w:t>- Применение плоских, эллиптических либо иных типов днищ не допускается.</w:t>
      </w:r>
    </w:p>
    <w:p>
      <w:pPr>
        <w:pStyle w:val="Normal"/>
        <w:spacing w:lineRule="auto" w:line="240" w:before="0" w:after="0"/>
        <w:ind w:hanging="0"/>
        <w:rPr>
          <w:sz w:val="22"/>
          <w:szCs w:val="22"/>
        </w:rPr>
      </w:pPr>
      <w:r>
        <w:rPr>
          <w:rFonts w:cs="Times New Roman"/>
          <w:sz w:val="22"/>
          <w:szCs w:val="22"/>
          <w:shd w:fill="auto" w:val="clear"/>
          <w:vertAlign w:val="superscript"/>
          <w:lang w:val="ru-RU"/>
        </w:rPr>
        <w:t xml:space="preserve">**) </w:t>
      </w:r>
      <w:r>
        <w:rPr>
          <w:rFonts w:cs="Times New Roman"/>
          <w:sz w:val="22"/>
          <w:szCs w:val="22"/>
          <w:shd w:fill="auto" w:val="clear"/>
          <w:lang w:val="ru-RU"/>
        </w:rPr>
        <w:t>– теплоизоляция фронтальной двери должна обеспечивать снижение тепловых потерь, защиту металлоконструкций двери от температурных деформаций, повышение эксплуатационной надёжности, безопасные условия обслуживания оборудования.. Применение исключительно волокнистой теплоизоляции без использования жаропрочного бетона не допускается</w:t>
      </w:r>
    </w:p>
    <w:p>
      <w:pPr>
        <w:pStyle w:val="Normal"/>
        <w:spacing w:lineRule="auto" w:line="240" w:before="0" w:after="0"/>
        <w:ind w:left="0" w:hanging="0"/>
        <w:rPr>
          <w:rFonts w:ascii="Times New Roman" w:hAnsi="Times New Roman" w:cs="Times New Roman"/>
          <w:sz w:val="22"/>
          <w:szCs w:val="22"/>
          <w:highlight w:val="none"/>
          <w:shd w:fill="auto" w:val="clear"/>
          <w14:ligatures w14:val="none"/>
        </w:rPr>
      </w:pPr>
      <w:r>
        <w:rPr>
          <w:rFonts w:cs="Times New Roman"/>
          <w:sz w:val="22"/>
          <w:szCs w:val="22"/>
          <w:shd w:fill="auto" w:val="clear"/>
          <w14:ligatures w14:val="none"/>
        </w:rPr>
      </w:r>
    </w:p>
    <w:p>
      <w:pPr>
        <w:pStyle w:val="Normal"/>
        <w:spacing w:lineRule="auto" w:line="240" w:before="0" w:after="0"/>
        <w:ind w:left="0" w:hanging="0"/>
        <w:jc w:val="both"/>
        <w:rPr>
          <w:sz w:val="24"/>
          <w:szCs w:val="24"/>
        </w:rPr>
      </w:pPr>
      <w:r>
        <w:rPr>
          <w:rFonts w:cs="Times New Roman"/>
          <w:sz w:val="24"/>
          <w:szCs w:val="24"/>
          <w:shd w:fill="auto" w:val="clear"/>
          <w:lang w:val="ru-RU"/>
        </w:rPr>
        <w:t>Конструкции котла должна обеспечивать возможность проведения регламентного обслуживания, очистки поверхностей нагрева и доступа к основным элементам котла без демонтажа основных узлов оборудования.</w:t>
      </w:r>
    </w:p>
    <w:p>
      <w:pPr>
        <w:pStyle w:val="Normal"/>
        <w:spacing w:lineRule="auto" w:line="240" w:before="0" w:after="0"/>
        <w:ind w:left="709" w:hanging="0"/>
        <w:jc w:val="both"/>
        <w:rPr>
          <w:sz w:val="24"/>
          <w:szCs w:val="24"/>
        </w:rPr>
      </w:pPr>
      <w:r>
        <w:rPr>
          <w:rFonts w:cs="Times New Roman"/>
          <w:sz w:val="24"/>
          <w:szCs w:val="24"/>
          <w:shd w:fill="auto" w:val="clear"/>
          <w:lang w:val="ru-RU"/>
        </w:rPr>
        <w:t> </w:t>
      </w:r>
    </w:p>
    <w:p>
      <w:pPr>
        <w:pStyle w:val="Normal"/>
        <w:spacing w:lineRule="auto" w:line="240" w:before="0" w:after="0"/>
        <w:ind w:left="0" w:hanging="0"/>
        <w:jc w:val="both"/>
        <w:rPr>
          <w:sz w:val="24"/>
          <w:szCs w:val="24"/>
        </w:rPr>
      </w:pPr>
      <w:r>
        <w:rPr>
          <w:rFonts w:cs="Times New Roman"/>
          <w:sz w:val="24"/>
          <w:szCs w:val="24"/>
          <w:shd w:fill="auto" w:val="clear"/>
          <w:lang w:val="ru-RU"/>
        </w:rPr>
        <w:t>Материалы, применяемые при изготовлении элементов котла, работающих под давлением и взаимодействием высоких температур должны соответствовать требованиям действующих нормативных документов, обеспечивать необходимую прочность, коррозийную стойкость и расчетный ресурс эксплуатации.</w:t>
      </w:r>
    </w:p>
    <w:p>
      <w:pPr>
        <w:pStyle w:val="Normal"/>
        <w:spacing w:lineRule="auto" w:line="240" w:before="0" w:after="0"/>
        <w:ind w:left="0" w:hanging="0"/>
        <w:jc w:val="both"/>
        <w:rPr>
          <w:sz w:val="24"/>
          <w:szCs w:val="24"/>
        </w:rPr>
      </w:pPr>
      <w:r>
        <w:rPr>
          <w:rFonts w:cs="Times New Roman"/>
          <w:sz w:val="24"/>
          <w:szCs w:val="24"/>
          <w:shd w:fill="auto" w:val="clear"/>
          <w:lang w:val="ru-RU"/>
        </w:rPr>
        <w:t>Котел должен быть изготовлен на заводских условиях серийным производителем, иметь подтвержденный опыт эксплуатации аналогичного оборудования на промышленных объектах  и соответствовать требованиям действующих норм промышленной безопасности.</w:t>
      </w:r>
    </w:p>
    <w:p>
      <w:pPr>
        <w:pStyle w:val="Normal"/>
        <w:spacing w:lineRule="auto" w:line="240" w:before="0" w:after="0"/>
        <w:ind w:left="709" w:hanging="0"/>
        <w:jc w:val="both"/>
        <w:rPr>
          <w:sz w:val="24"/>
          <w:szCs w:val="24"/>
        </w:rPr>
      </w:pPr>
      <w:r>
        <w:rPr>
          <w:rFonts w:cs="Times New Roman"/>
          <w:sz w:val="24"/>
          <w:szCs w:val="24"/>
          <w:shd w:fill="auto" w:val="clear"/>
          <w:lang w:val="ru-RU"/>
        </w:rPr>
        <w:t> </w:t>
      </w:r>
    </w:p>
    <w:p>
      <w:pPr>
        <w:pStyle w:val="Normal"/>
        <w:spacing w:lineRule="auto" w:line="240" w:before="0" w:after="0"/>
        <w:ind w:left="0" w:hanging="0"/>
        <w:jc w:val="both"/>
        <w:rPr>
          <w:sz w:val="24"/>
          <w:szCs w:val="24"/>
        </w:rPr>
      </w:pPr>
      <w:r>
        <w:rPr>
          <w:sz w:val="24"/>
          <w:szCs w:val="24"/>
          <w:shd w:fill="auto" w:val="clear"/>
        </w:rPr>
        <w:t>Конструкции котла должны обеспечивать устойчивую и безопасную работу оборудования в автоматическом режиме с возможностью интеграции в общекотельные системы автоматизации и контроля.</w:t>
      </w:r>
    </w:p>
    <w:p>
      <w:pPr>
        <w:pStyle w:val="Normal"/>
        <w:widowControl/>
        <w:numPr>
          <w:ilvl w:val="0"/>
          <w:numId w:val="0"/>
        </w:numPr>
        <w:suppressAutoHyphens w:val="false"/>
        <w:bidi w:val="0"/>
        <w:spacing w:lineRule="auto" w:line="240" w:before="0" w:after="0"/>
        <w:ind w:left="113" w:right="283" w:hanging="0"/>
        <w:jc w:val="left"/>
        <w:rPr>
          <w:sz w:val="24"/>
          <w:szCs w:val="24"/>
        </w:rPr>
      </w:pPr>
      <w:r>
        <w:rPr>
          <w:sz w:val="24"/>
          <w:szCs w:val="24"/>
        </w:rPr>
      </w:r>
    </w:p>
    <w:p>
      <w:pPr>
        <w:pStyle w:val="Normal"/>
        <w:widowControl/>
        <w:numPr>
          <w:ilvl w:val="0"/>
          <w:numId w:val="0"/>
        </w:numPr>
        <w:suppressAutoHyphens w:val="false"/>
        <w:bidi w:val="0"/>
        <w:spacing w:lineRule="auto" w:line="240" w:before="0" w:after="0"/>
        <w:ind w:left="113" w:right="283" w:hanging="0"/>
        <w:jc w:val="left"/>
        <w:rPr>
          <w:sz w:val="24"/>
          <w:szCs w:val="24"/>
        </w:rPr>
      </w:pPr>
      <w:r>
        <w:rPr>
          <w:rFonts w:cs="Times New Roman"/>
          <w:b/>
          <w:bCs/>
          <w:sz w:val="24"/>
          <w:szCs w:val="24"/>
          <w:lang w:val="ru-RU"/>
        </w:rPr>
        <w:t xml:space="preserve">6.4. </w:t>
      </w:r>
      <w:r>
        <w:rPr>
          <w:rFonts w:eastAsia="Times New Roman" w:cs="Times New Roman"/>
          <w:b w:val="false"/>
          <w:bCs/>
          <w:i w:val="false"/>
          <w:strike w:val="false"/>
          <w:dstrike w:val="false"/>
          <w:color w:val="000000"/>
          <w:position w:val="0"/>
          <w:sz w:val="24"/>
          <w:sz w:val="24"/>
          <w:szCs w:val="24"/>
          <w:u w:val="single"/>
          <w:vertAlign w:val="baseline"/>
          <w:lang w:val="ru-RU"/>
        </w:rPr>
        <w:t>Котел «Термотехник» ТТ100-01 мощность 16 500 кВт</w:t>
      </w:r>
      <w:r>
        <w:rPr>
          <w:rFonts w:eastAsia="Times New Roman" w:cs="Times New Roman"/>
          <w:b w:val="false"/>
          <w:bCs/>
          <w:i w:val="false"/>
          <w:strike w:val="false"/>
          <w:dstrike w:val="false"/>
          <w:color w:val="000000"/>
          <w:position w:val="0"/>
          <w:sz w:val="24"/>
          <w:sz w:val="24"/>
          <w:szCs w:val="24"/>
          <w:u w:val="none"/>
          <w:vertAlign w:val="baseline"/>
          <w:lang w:val="ru-RU"/>
        </w:rPr>
        <w:t xml:space="preserve">- трехходовой, водогрейный, газотрубный, мощностью 16 500 кВт. 140С (или эквивалент, указать наименование) в комплекте (для </w:t>
      </w:r>
      <w:r>
        <w:rPr>
          <w:rFonts w:cs="Times New Roman"/>
          <w:b w:val="false"/>
          <w:bCs w:val="false"/>
          <w:sz w:val="24"/>
          <w:szCs w:val="24"/>
          <w:lang w:val="ru-RU"/>
        </w:rPr>
        <w:t>газовой котельной в 607 квартале г. Благовещенск, Амурская область)</w:t>
      </w:r>
    </w:p>
    <w:p>
      <w:pPr>
        <w:pStyle w:val="Normal"/>
        <w:spacing w:lineRule="auto" w:line="240" w:before="0" w:after="0"/>
        <w:jc w:val="left"/>
        <w:rPr>
          <w:rFonts w:ascii="Times New Roman" w:hAnsi="Times New Roman" w:cs="Times New Roman"/>
          <w:b/>
          <w:bCs/>
          <w:lang w:val="ru-RU"/>
        </w:rPr>
      </w:pPr>
      <w:r>
        <w:rPr>
          <w:rFonts w:cs="Times New Roman"/>
          <w:b/>
          <w:bCs/>
          <w:lang w:val="ru-RU"/>
        </w:rPr>
      </w:r>
    </w:p>
    <w:tbl>
      <w:tblPr>
        <w:tblStyle w:val="991"/>
        <w:tblW w:w="9861" w:type="dxa"/>
        <w:jc w:val="left"/>
        <w:tblInd w:w="179" w:type="dxa"/>
        <w:tblLayout w:type="fixed"/>
        <w:tblCellMar>
          <w:top w:w="55" w:type="dxa"/>
          <w:left w:w="108" w:type="dxa"/>
          <w:bottom w:w="55" w:type="dxa"/>
          <w:right w:w="108" w:type="dxa"/>
        </w:tblCellMar>
        <w:tblLook w:val="04a0" w:noHBand="0" w:noVBand="1" w:firstColumn="1" w:lastRow="0" w:lastColumn="0" w:firstRow="1"/>
      </w:tblPr>
      <w:tblGrid>
        <w:gridCol w:w="720"/>
        <w:gridCol w:w="3340"/>
        <w:gridCol w:w="1435"/>
        <w:gridCol w:w="1458"/>
        <w:gridCol w:w="1476"/>
        <w:gridCol w:w="1431"/>
      </w:tblGrid>
      <w:tr>
        <w:trPr>
          <w:trHeight w:val="463" w:hRule="atLeast"/>
        </w:trPr>
        <w:tc>
          <w:tcPr>
            <w:tcW w:w="720" w:type="dxa"/>
            <w:vMerge w:val="restart"/>
            <w:tcBorders>
              <w:top w:val="single" w:sz="4" w:space="0" w:color="000000"/>
              <w:left w:val="single" w:sz="4" w:space="0" w:color="000000"/>
              <w:bottom w:val="single" w:sz="4" w:space="0" w:color="000000"/>
            </w:tcBorders>
            <w:shd w:fill="FFFFFF" w:val="clear"/>
            <w:vAlign w:val="center"/>
          </w:tcPr>
          <w:p>
            <w:pPr>
              <w:pStyle w:val="Normal"/>
              <w:widowControl w:val="false"/>
              <w:shd w:val="clear" w:color="FFFFFF" w:themeColor="background1" w:fill="FFFFFF" w:themeFill="background1"/>
              <w:suppressAutoHyphens w:val="false"/>
              <w:bidi w:val="0"/>
              <w:spacing w:lineRule="auto" w:line="240" w:before="0" w:after="200"/>
              <w:ind w:left="113" w:right="0" w:hanging="0"/>
              <w:jc w:val="center"/>
              <w:rPr>
                <w:sz w:val="18"/>
                <w:szCs w:val="18"/>
              </w:rPr>
            </w:pPr>
            <w:r>
              <w:rPr>
                <w:rFonts w:cs="Times New Roman"/>
                <w:b/>
                <w:bCs/>
                <w:i/>
                <w:kern w:val="0"/>
                <w:sz w:val="18"/>
                <w:szCs w:val="18"/>
                <w:lang w:val="ru-RU" w:bidi="ar-SA"/>
              </w:rPr>
              <w:t xml:space="preserve">№ </w:t>
            </w:r>
            <w:r>
              <w:rPr>
                <w:rFonts w:cs="Times New Roman"/>
                <w:b/>
                <w:bCs/>
                <w:i/>
                <w:kern w:val="0"/>
                <w:sz w:val="18"/>
                <w:szCs w:val="18"/>
                <w:lang w:val="ru-RU" w:bidi="ar-SA"/>
              </w:rPr>
              <w:t>п/п</w:t>
            </w:r>
          </w:p>
          <w:p>
            <w:pPr>
              <w:pStyle w:val="Normal"/>
              <w:widowControl w:val="false"/>
              <w:shd w:val="clear" w:color="FFFFFF" w:themeColor="background1" w:fill="FFFFFF" w:themeFill="background1"/>
              <w:spacing w:lineRule="auto" w:line="240"/>
              <w:jc w:val="left"/>
              <w:rPr>
                <w:sz w:val="18"/>
                <w:szCs w:val="18"/>
              </w:rPr>
            </w:pPr>
            <w:r>
              <w:rPr>
                <w:sz w:val="18"/>
                <w:szCs w:val="18"/>
              </w:rPr>
            </w:r>
          </w:p>
        </w:tc>
        <w:tc>
          <w:tcPr>
            <w:tcW w:w="3340" w:type="dxa"/>
            <w:vMerge w:val="restart"/>
            <w:tcBorders>
              <w:top w:val="single" w:sz="4" w:space="0" w:color="000000"/>
              <w:left w:val="single" w:sz="4" w:space="0" w:color="000000"/>
              <w:bottom w:val="single" w:sz="4" w:space="0" w:color="000000"/>
            </w:tcBorders>
            <w:shd w:fill="FFFFFF" w:val="clear"/>
            <w:vAlign w:val="center"/>
          </w:tcPr>
          <w:p>
            <w:pPr>
              <w:pStyle w:val="Normal"/>
              <w:widowControl w:val="false"/>
              <w:shd w:val="clear" w:color="FFFFFF" w:themeColor="background1" w:fill="FFFFFF" w:themeFill="background1"/>
              <w:spacing w:lineRule="auto" w:line="240" w:before="0" w:after="200"/>
              <w:jc w:val="center"/>
              <w:rPr>
                <w:sz w:val="18"/>
                <w:szCs w:val="18"/>
              </w:rPr>
            </w:pPr>
            <w:r>
              <w:rPr>
                <w:rFonts w:cs="Times New Roman"/>
                <w:b/>
                <w:bCs/>
                <w:i/>
                <w:kern w:val="0"/>
                <w:sz w:val="18"/>
                <w:szCs w:val="18"/>
                <w:lang w:val="ru-RU" w:bidi="ar-SA"/>
              </w:rPr>
              <w:t>Наименование параметра</w:t>
            </w:r>
          </w:p>
          <w:p>
            <w:pPr>
              <w:pStyle w:val="Normal"/>
              <w:widowControl w:val="false"/>
              <w:shd w:val="clear" w:color="FFFFFF" w:themeColor="background1" w:fill="FFFFFF" w:themeFill="background1"/>
              <w:spacing w:lineRule="auto" w:line="240"/>
              <w:jc w:val="left"/>
              <w:rPr>
                <w:sz w:val="18"/>
                <w:szCs w:val="18"/>
              </w:rPr>
            </w:pPr>
            <w:r>
              <w:rPr>
                <w:sz w:val="18"/>
                <w:szCs w:val="18"/>
              </w:rPr>
            </w:r>
          </w:p>
        </w:tc>
        <w:tc>
          <w:tcPr>
            <w:tcW w:w="1435" w:type="dxa"/>
            <w:vMerge w:val="restart"/>
            <w:tcBorders>
              <w:top w:val="single" w:sz="4" w:space="0" w:color="000000"/>
              <w:left w:val="single" w:sz="4" w:space="0" w:color="000000"/>
              <w:bottom w:val="single" w:sz="4" w:space="0" w:color="000000"/>
            </w:tcBorders>
            <w:shd w:fill="FFFFFF" w:val="clear"/>
            <w:vAlign w:val="center"/>
          </w:tcPr>
          <w:p>
            <w:pPr>
              <w:pStyle w:val="Normal"/>
              <w:widowControl w:val="false"/>
              <w:shd w:val="clear" w:color="FFFFFF" w:themeColor="background1" w:fill="FFFFFF" w:themeFill="background1"/>
              <w:spacing w:lineRule="auto" w:line="240" w:before="0" w:afterAutospacing="0" w:after="0"/>
              <w:jc w:val="center"/>
              <w:rPr>
                <w:sz w:val="18"/>
                <w:szCs w:val="18"/>
              </w:rPr>
            </w:pPr>
            <w:r>
              <w:rPr>
                <w:rFonts w:cs="Times New Roman"/>
                <w:b/>
                <w:bCs/>
                <w:i/>
                <w:kern w:val="0"/>
                <w:sz w:val="18"/>
                <w:szCs w:val="18"/>
                <w:lang w:val="ru-RU" w:bidi="ar-SA"/>
              </w:rPr>
              <w:t>Требование заказчика</w:t>
            </w:r>
          </w:p>
          <w:p>
            <w:pPr>
              <w:pStyle w:val="Normal"/>
              <w:widowControl w:val="false"/>
              <w:shd w:val="clear" w:color="FFFFFF" w:themeColor="background1" w:fill="FFFFFF" w:themeFill="background1"/>
              <w:spacing w:lineRule="auto" w:line="240"/>
              <w:jc w:val="left"/>
              <w:rPr>
                <w:sz w:val="18"/>
                <w:szCs w:val="18"/>
              </w:rPr>
            </w:pPr>
            <w:r>
              <w:rPr>
                <w:sz w:val="18"/>
                <w:szCs w:val="18"/>
              </w:rPr>
            </w:r>
          </w:p>
        </w:tc>
        <w:tc>
          <w:tcPr>
            <w:tcW w:w="2934" w:type="dxa"/>
            <w:gridSpan w:val="2"/>
            <w:tcBorders>
              <w:top w:val="single" w:sz="4" w:space="0" w:color="000000"/>
              <w:left w:val="single" w:sz="4" w:space="0" w:color="000000"/>
              <w:bottom w:val="single" w:sz="4" w:space="0" w:color="000000"/>
            </w:tcBorders>
            <w:shd w:fill="FFFFFF" w:val="clear"/>
            <w:vAlign w:val="center"/>
          </w:tcPr>
          <w:p>
            <w:pPr>
              <w:pStyle w:val="Normal"/>
              <w:widowControl w:val="false"/>
              <w:shd w:val="clear" w:color="FFFFFF" w:themeColor="background1" w:fill="FFFFFF" w:themeFill="background1"/>
              <w:spacing w:lineRule="auto" w:line="240"/>
              <w:jc w:val="center"/>
              <w:rPr>
                <w:sz w:val="18"/>
                <w:szCs w:val="18"/>
              </w:rPr>
            </w:pPr>
            <w:r>
              <w:rPr>
                <w:rFonts w:cs="Times New Roman"/>
                <w:b/>
                <w:bCs/>
                <w:i/>
                <w:iCs/>
                <w:kern w:val="0"/>
                <w:sz w:val="18"/>
                <w:szCs w:val="18"/>
                <w:lang w:val="ru-RU" w:bidi="ar-SA"/>
              </w:rPr>
              <w:t>Способ подтверждения участником соответствия требованиям</w:t>
            </w:r>
          </w:p>
          <w:p>
            <w:pPr>
              <w:pStyle w:val="Normal"/>
              <w:widowControl w:val="false"/>
              <w:shd w:val="clear" w:color="FFFFFF" w:themeColor="background1" w:fill="FFFFFF" w:themeFill="background1"/>
              <w:spacing w:lineRule="auto" w:line="240"/>
              <w:jc w:val="left"/>
              <w:rPr>
                <w:sz w:val="18"/>
                <w:szCs w:val="18"/>
              </w:rPr>
            </w:pPr>
            <w:r>
              <w:rPr>
                <w:sz w:val="18"/>
                <w:szCs w:val="18"/>
              </w:rPr>
            </w:r>
          </w:p>
        </w:tc>
        <w:tc>
          <w:tcPr>
            <w:tcW w:w="1431" w:type="dxa"/>
            <w:vMerge w:val="restart"/>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hd w:val="clear" w:color="FFFFFF" w:themeColor="background1" w:fill="FFFFFF" w:themeFill="background1"/>
              <w:spacing w:lineRule="auto" w:line="240"/>
              <w:jc w:val="center"/>
              <w:rPr>
                <w:sz w:val="18"/>
                <w:szCs w:val="18"/>
              </w:rPr>
            </w:pPr>
            <w:r>
              <w:rPr>
                <w:rFonts w:cs="Times New Roman"/>
                <w:b/>
                <w:bCs/>
                <w:i/>
                <w:iCs/>
                <w:kern w:val="0"/>
                <w:sz w:val="18"/>
                <w:szCs w:val="18"/>
                <w:lang w:val="ru-RU" w:bidi="ar-SA"/>
              </w:rPr>
              <w:t>Предложение участника по характеристикам и параметрам</w:t>
            </w:r>
          </w:p>
        </w:tc>
      </w:tr>
      <w:tr>
        <w:trPr/>
        <w:tc>
          <w:tcPr>
            <w:tcW w:w="720" w:type="dxa"/>
            <w:vMerge w:val="continue"/>
            <w:tcBorders>
              <w:left w:val="single" w:sz="4" w:space="0" w:color="000000"/>
              <w:bottom w:val="single" w:sz="4" w:space="0" w:color="000000"/>
            </w:tcBorders>
            <w:shd w:fill="FFFFFF" w:val="clear"/>
            <w:vAlign w:val="center"/>
          </w:tcPr>
          <w:p>
            <w:pPr>
              <w:pStyle w:val="Normal"/>
              <w:widowControl w:val="false"/>
              <w:spacing w:lineRule="auto" w:line="240"/>
              <w:jc w:val="left"/>
              <w:rPr>
                <w:kern w:val="0"/>
                <w:sz w:val="18"/>
                <w:szCs w:val="18"/>
              </w:rPr>
            </w:pPr>
            <w:r>
              <w:rPr>
                <w:kern w:val="0"/>
                <w:sz w:val="18"/>
                <w:szCs w:val="18"/>
              </w:rPr>
            </w:r>
          </w:p>
        </w:tc>
        <w:tc>
          <w:tcPr>
            <w:tcW w:w="3340" w:type="dxa"/>
            <w:vMerge w:val="continue"/>
            <w:tcBorders>
              <w:left w:val="single" w:sz="4" w:space="0" w:color="000000"/>
              <w:bottom w:val="single" w:sz="4" w:space="0" w:color="000000"/>
            </w:tcBorders>
            <w:shd w:fill="FFFFFF" w:val="clear"/>
            <w:vAlign w:val="center"/>
          </w:tcPr>
          <w:p>
            <w:pPr>
              <w:pStyle w:val="Normal"/>
              <w:widowControl w:val="false"/>
              <w:spacing w:lineRule="auto" w:line="240"/>
              <w:jc w:val="left"/>
              <w:rPr>
                <w:kern w:val="0"/>
                <w:sz w:val="18"/>
                <w:szCs w:val="18"/>
              </w:rPr>
            </w:pPr>
            <w:r>
              <w:rPr>
                <w:kern w:val="0"/>
                <w:sz w:val="18"/>
                <w:szCs w:val="18"/>
              </w:rPr>
            </w:r>
          </w:p>
        </w:tc>
        <w:tc>
          <w:tcPr>
            <w:tcW w:w="1435" w:type="dxa"/>
            <w:vMerge w:val="continue"/>
            <w:tcBorders>
              <w:left w:val="single" w:sz="4" w:space="0" w:color="000000"/>
              <w:bottom w:val="single" w:sz="4" w:space="0" w:color="000000"/>
            </w:tcBorders>
            <w:shd w:fill="FFFFFF" w:val="clear"/>
            <w:vAlign w:val="center"/>
          </w:tcPr>
          <w:p>
            <w:pPr>
              <w:pStyle w:val="Normal"/>
              <w:widowControl w:val="false"/>
              <w:spacing w:lineRule="auto" w:line="240"/>
              <w:jc w:val="left"/>
              <w:rPr>
                <w:kern w:val="0"/>
                <w:sz w:val="18"/>
                <w:szCs w:val="18"/>
              </w:rPr>
            </w:pPr>
            <w:r>
              <w:rPr>
                <w:kern w:val="0"/>
                <w:sz w:val="18"/>
                <w:szCs w:val="18"/>
              </w:rPr>
            </w:r>
          </w:p>
        </w:tc>
        <w:tc>
          <w:tcPr>
            <w:tcW w:w="1458" w:type="dxa"/>
            <w:tcBorders>
              <w:left w:val="single" w:sz="4" w:space="0" w:color="000000"/>
              <w:bottom w:val="single" w:sz="4" w:space="0" w:color="000000"/>
            </w:tcBorders>
            <w:shd w:fill="FFFFFF" w:val="clear"/>
            <w:vAlign w:val="center"/>
          </w:tcPr>
          <w:p>
            <w:pPr>
              <w:pStyle w:val="Normal"/>
              <w:widowControl w:val="false"/>
              <w:spacing w:lineRule="auto" w:line="240"/>
              <w:jc w:val="center"/>
              <w:rPr>
                <w:sz w:val="18"/>
                <w:szCs w:val="18"/>
              </w:rPr>
            </w:pPr>
            <w:r>
              <w:rPr>
                <w:rFonts w:cs="Times New Roman"/>
                <w:b/>
                <w:bCs/>
                <w:i/>
                <w:iCs/>
                <w:kern w:val="0"/>
                <w:sz w:val="18"/>
                <w:szCs w:val="18"/>
                <w:lang w:val="ru-RU" w:bidi="ar-SA"/>
              </w:rPr>
              <w:t>Согласие с требованием</w:t>
            </w:r>
          </w:p>
        </w:tc>
        <w:tc>
          <w:tcPr>
            <w:tcW w:w="1476" w:type="dxa"/>
            <w:tcBorders>
              <w:left w:val="single" w:sz="4" w:space="0" w:color="000000"/>
              <w:bottom w:val="single" w:sz="4" w:space="0" w:color="000000"/>
            </w:tcBorders>
            <w:shd w:fill="FFFFFF" w:val="clear"/>
            <w:vAlign w:val="center"/>
          </w:tcPr>
          <w:p>
            <w:pPr>
              <w:pStyle w:val="Normal"/>
              <w:widowControl w:val="false"/>
              <w:spacing w:lineRule="auto" w:line="240"/>
              <w:jc w:val="center"/>
              <w:rPr>
                <w:sz w:val="18"/>
                <w:szCs w:val="18"/>
              </w:rPr>
            </w:pPr>
            <w:r>
              <w:rPr>
                <w:b/>
                <w:bCs/>
                <w:i/>
                <w:iCs/>
                <w:kern w:val="0"/>
                <w:sz w:val="18"/>
                <w:szCs w:val="18"/>
              </w:rPr>
              <w:t>Предоставление подтверждающего документа</w:t>
            </w:r>
          </w:p>
        </w:tc>
        <w:tc>
          <w:tcPr>
            <w:tcW w:w="1431" w:type="dxa"/>
            <w:vMerge w:val="continue"/>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jc w:val="left"/>
              <w:rPr>
                <w:kern w:val="0"/>
                <w:sz w:val="18"/>
                <w:szCs w:val="18"/>
              </w:rPr>
            </w:pPr>
            <w:r>
              <w:rPr>
                <w:kern w:val="0"/>
                <w:sz w:val="18"/>
                <w:szCs w:val="18"/>
              </w:rPr>
            </w:r>
          </w:p>
        </w:tc>
      </w:tr>
      <w:tr>
        <w:trPr/>
        <w:tc>
          <w:tcPr>
            <w:tcW w:w="720" w:type="dxa"/>
            <w:tcBorders>
              <w:left w:val="single" w:sz="4" w:space="0" w:color="000000"/>
              <w:bottom w:val="single" w:sz="4" w:space="0" w:color="000000"/>
            </w:tcBorders>
            <w:shd w:fill="FFFFFF" w:val="clear"/>
          </w:tcPr>
          <w:p>
            <w:pPr>
              <w:pStyle w:val="Normal"/>
              <w:widowControl w:val="false"/>
              <w:spacing w:lineRule="auto" w:line="240"/>
              <w:jc w:val="center"/>
              <w:rPr>
                <w:sz w:val="18"/>
                <w:szCs w:val="18"/>
              </w:rPr>
            </w:pPr>
            <w:r>
              <w:rPr>
                <w:b/>
                <w:bCs/>
                <w:i w:val="false"/>
                <w:iCs w:val="false"/>
                <w:kern w:val="0"/>
                <w:sz w:val="18"/>
                <w:szCs w:val="18"/>
              </w:rPr>
              <w:t>1</w:t>
            </w:r>
          </w:p>
        </w:tc>
        <w:tc>
          <w:tcPr>
            <w:tcW w:w="3340" w:type="dxa"/>
            <w:tcBorders>
              <w:left w:val="single" w:sz="4" w:space="0" w:color="000000"/>
              <w:bottom w:val="single" w:sz="4" w:space="0" w:color="000000"/>
            </w:tcBorders>
            <w:shd w:fill="FFFFFF" w:val="clear"/>
          </w:tcPr>
          <w:p>
            <w:pPr>
              <w:pStyle w:val="Normal"/>
              <w:widowControl w:val="false"/>
              <w:spacing w:lineRule="auto" w:line="240"/>
              <w:jc w:val="center"/>
              <w:rPr>
                <w:sz w:val="18"/>
                <w:szCs w:val="18"/>
              </w:rPr>
            </w:pPr>
            <w:r>
              <w:rPr>
                <w:b/>
                <w:bCs/>
                <w:i w:val="false"/>
                <w:iCs w:val="false"/>
                <w:kern w:val="0"/>
                <w:sz w:val="18"/>
                <w:szCs w:val="18"/>
              </w:rPr>
              <w:t>2</w:t>
            </w:r>
          </w:p>
        </w:tc>
        <w:tc>
          <w:tcPr>
            <w:tcW w:w="1435" w:type="dxa"/>
            <w:tcBorders>
              <w:left w:val="single" w:sz="4" w:space="0" w:color="000000"/>
              <w:bottom w:val="single" w:sz="4" w:space="0" w:color="000000"/>
            </w:tcBorders>
            <w:shd w:fill="FFFFFF" w:val="clear"/>
          </w:tcPr>
          <w:p>
            <w:pPr>
              <w:pStyle w:val="Normal"/>
              <w:widowControl w:val="false"/>
              <w:spacing w:lineRule="auto" w:line="240"/>
              <w:jc w:val="center"/>
              <w:rPr>
                <w:sz w:val="18"/>
                <w:szCs w:val="18"/>
              </w:rPr>
            </w:pPr>
            <w:r>
              <w:rPr>
                <w:b/>
                <w:bCs/>
                <w:i w:val="false"/>
                <w:iCs w:val="false"/>
                <w:kern w:val="0"/>
                <w:sz w:val="18"/>
                <w:szCs w:val="18"/>
              </w:rPr>
              <w:t>3</w:t>
            </w:r>
          </w:p>
        </w:tc>
        <w:tc>
          <w:tcPr>
            <w:tcW w:w="1458" w:type="dxa"/>
            <w:tcBorders>
              <w:left w:val="single" w:sz="4" w:space="0" w:color="000000"/>
              <w:bottom w:val="single" w:sz="4" w:space="0" w:color="000000"/>
            </w:tcBorders>
            <w:shd w:fill="FFFFFF" w:val="clear"/>
          </w:tcPr>
          <w:p>
            <w:pPr>
              <w:pStyle w:val="Normal"/>
              <w:widowControl w:val="false"/>
              <w:spacing w:lineRule="auto" w:line="240"/>
              <w:jc w:val="center"/>
              <w:rPr>
                <w:sz w:val="18"/>
                <w:szCs w:val="18"/>
              </w:rPr>
            </w:pPr>
            <w:r>
              <w:rPr>
                <w:rFonts w:cs="Times New Roman"/>
                <w:b/>
                <w:bCs/>
                <w:i w:val="false"/>
                <w:iCs w:val="false"/>
                <w:kern w:val="0"/>
                <w:sz w:val="18"/>
                <w:szCs w:val="18"/>
                <w:lang w:val="ru-RU" w:bidi="ar-SA"/>
              </w:rPr>
              <w:t>4</w:t>
            </w:r>
          </w:p>
        </w:tc>
        <w:tc>
          <w:tcPr>
            <w:tcW w:w="1476" w:type="dxa"/>
            <w:tcBorders>
              <w:left w:val="single" w:sz="4" w:space="0" w:color="000000"/>
              <w:bottom w:val="single" w:sz="4" w:space="0" w:color="000000"/>
            </w:tcBorders>
            <w:shd w:fill="FFFFFF" w:val="clear"/>
          </w:tcPr>
          <w:p>
            <w:pPr>
              <w:pStyle w:val="Normal"/>
              <w:widowControl w:val="false"/>
              <w:spacing w:lineRule="auto" w:line="240"/>
              <w:jc w:val="center"/>
              <w:rPr>
                <w:sz w:val="18"/>
                <w:szCs w:val="18"/>
              </w:rPr>
            </w:pPr>
            <w:r>
              <w:rPr>
                <w:b/>
                <w:bCs/>
                <w:i w:val="false"/>
                <w:iCs w:val="false"/>
                <w:kern w:val="0"/>
                <w:sz w:val="18"/>
                <w:szCs w:val="18"/>
              </w:rPr>
              <w:t>5</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jc w:val="center"/>
              <w:rPr>
                <w:sz w:val="18"/>
                <w:szCs w:val="18"/>
              </w:rPr>
            </w:pPr>
            <w:r>
              <w:rPr>
                <w:b/>
                <w:bCs/>
                <w:i w:val="false"/>
                <w:iCs w:val="false"/>
                <w:kern w:val="0"/>
                <w:sz w:val="18"/>
                <w:szCs w:val="18"/>
              </w:rPr>
              <w:t>6</w:t>
            </w:r>
          </w:p>
        </w:tc>
      </w:tr>
      <w:tr>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Номинальная теплопроизводительность, МВт</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16,5</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2.</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Количество котлов, шт</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6</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количества</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3.</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Температура воды на выходе из котла, не более,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140</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4.</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Температура воды на входе в котёл, не менее,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60</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5.</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Рабочее давление, МПа</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0,85</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6.</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Эксплуатационный КПД, не менее, % (без экономайзера)</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94</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7.</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0"/>
              <w:jc w:val="left"/>
              <w:rPr>
                <w:sz w:val="18"/>
                <w:szCs w:val="18"/>
              </w:rPr>
            </w:pPr>
            <w:r>
              <w:rPr>
                <w:rFonts w:cs="Times New Roman"/>
                <w:kern w:val="0"/>
                <w:sz w:val="18"/>
                <w:szCs w:val="18"/>
                <w:lang w:val="ru-RU" w:bidi="ar-SA"/>
              </w:rPr>
              <w:t xml:space="preserve">Температура уходящих газов при работе на природном газе (без экономайзера), не более, </w:t>
            </w:r>
            <w:r>
              <w:rPr>
                <w:rFonts w:cs="Times New Roman"/>
                <w:kern w:val="0"/>
                <w:sz w:val="18"/>
                <w:szCs w:val="18"/>
                <w:vertAlign w:val="superscript"/>
                <w:lang w:val="ru-RU" w:bidi="ar-SA"/>
              </w:rPr>
              <w:t>о</w:t>
            </w:r>
            <w:r>
              <w:rPr>
                <w:rFonts w:cs="Times New Roman"/>
                <w:kern w:val="0"/>
                <w:sz w:val="18"/>
                <w:szCs w:val="18"/>
                <w:lang w:val="ru-RU" w:bidi="ar-SA"/>
              </w:rPr>
              <w:t>С</w:t>
            </w:r>
          </w:p>
          <w:p>
            <w:pPr>
              <w:pStyle w:val="Normal"/>
              <w:widowControl w:val="false"/>
              <w:spacing w:lineRule="auto" w:line="240" w:before="0" w:after="0"/>
              <w:jc w:val="left"/>
              <w:rPr>
                <w:sz w:val="18"/>
                <w:szCs w:val="18"/>
              </w:rPr>
            </w:pPr>
            <w:r>
              <w:rPr>
                <w:rFonts w:cs="Times New Roman"/>
                <w:kern w:val="0"/>
                <w:sz w:val="18"/>
                <w:szCs w:val="18"/>
                <w:lang w:val="ru-RU" w:bidi="ar-SA"/>
              </w:rPr>
              <w:t xml:space="preserve">(при температурном графике 130/70 </w:t>
            </w:r>
            <w:r>
              <w:rPr>
                <w:rFonts w:cs="Times New Roman"/>
                <w:kern w:val="0"/>
                <w:sz w:val="18"/>
                <w:szCs w:val="18"/>
                <w:vertAlign w:val="superscript"/>
                <w:lang w:val="ru-RU" w:bidi="ar-SA"/>
              </w:rPr>
              <w:t>о</w:t>
            </w:r>
            <w:r>
              <w:rPr>
                <w:rFonts w:cs="Times New Roman"/>
                <w:kern w:val="0"/>
                <w:sz w:val="18"/>
                <w:szCs w:val="18"/>
                <w:lang w:val="ru-RU" w:bidi="ar-SA"/>
              </w:rPr>
              <w:t>С)</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188</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8.</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Диапазон регулирования теплопроизводительности,</w:t>
            </w:r>
            <w:r>
              <w:rPr>
                <w:rFonts w:cs="Times New Roman"/>
                <w:kern w:val="0"/>
                <w:sz w:val="18"/>
                <w:szCs w:val="18"/>
                <w:lang w:bidi="ar-SA"/>
              </w:rPr>
              <w:t xml:space="preserve"> </w:t>
            </w:r>
            <w:r>
              <w:rPr>
                <w:rFonts w:cs="Times New Roman"/>
                <w:kern w:val="0"/>
                <w:sz w:val="18"/>
                <w:szCs w:val="18"/>
                <w:lang w:val="ru-RU" w:bidi="ar-SA"/>
              </w:rPr>
              <w:t>%</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bidi="ar-SA"/>
              </w:rPr>
              <w:t>1</w:t>
            </w:r>
            <w:r>
              <w:rPr>
                <w:rFonts w:cs="Times New Roman"/>
                <w:kern w:val="0"/>
                <w:sz w:val="18"/>
                <w:szCs w:val="18"/>
                <w:highlight w:val="white"/>
                <w:lang w:val="ru-RU" w:bidi="ar-SA"/>
              </w:rPr>
              <w:t>0-100</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9.</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Гидравлическое сопротивление, МПа, не более</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0,0</w:t>
            </w:r>
            <w:r>
              <w:rPr>
                <w:rFonts w:cs="Times New Roman"/>
                <w:kern w:val="0"/>
                <w:sz w:val="18"/>
                <w:szCs w:val="18"/>
                <w:highlight w:val="white"/>
                <w:lang w:bidi="ar-SA"/>
              </w:rPr>
              <w:t>12</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9.1</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 xml:space="preserve">Расход воды через котёл </w:t>
            </w:r>
            <w:r>
              <w:rPr>
                <w:rFonts w:cs="Times New Roman"/>
                <w:kern w:val="0"/>
                <w:sz w:val="18"/>
                <w:szCs w:val="18"/>
                <w:highlight w:val="white"/>
                <w:lang w:val="ru-RU" w:bidi="ar-SA"/>
              </w:rPr>
              <w:t>(</w:t>
            </w:r>
            <w:r>
              <w:rPr>
                <w:rFonts w:cs="Times New Roman"/>
                <w:kern w:val="0"/>
                <w:sz w:val="18"/>
                <w:szCs w:val="18"/>
                <w:highlight w:val="white"/>
                <w:lang w:bidi="ar-SA"/>
              </w:rPr>
              <w:t>min</w:t>
            </w:r>
            <w:r>
              <w:rPr>
                <w:rFonts w:cs="Times New Roman"/>
                <w:kern w:val="0"/>
                <w:sz w:val="18"/>
                <w:szCs w:val="18"/>
                <w:highlight w:val="white"/>
                <w:lang w:val="ru-RU" w:bidi="ar-SA"/>
              </w:rPr>
              <w:t>/</w:t>
            </w:r>
            <w:r>
              <w:rPr>
                <w:rFonts w:cs="Times New Roman"/>
                <w:kern w:val="0"/>
                <w:sz w:val="18"/>
                <w:szCs w:val="18"/>
                <w:highlight w:val="white"/>
                <w:lang w:bidi="ar-SA"/>
              </w:rPr>
              <w:t>max</w:t>
            </w:r>
            <w:r>
              <w:rPr>
                <w:rFonts w:cs="Times New Roman"/>
                <w:kern w:val="0"/>
                <w:sz w:val="18"/>
                <w:szCs w:val="18"/>
                <w:highlight w:val="white"/>
                <w:lang w:val="ru-RU" w:bidi="ar-SA"/>
              </w:rPr>
              <w:t>)</w:t>
            </w:r>
            <w:r>
              <w:rPr>
                <w:rFonts w:cs="Times New Roman"/>
                <w:kern w:val="0"/>
                <w:sz w:val="18"/>
                <w:szCs w:val="18"/>
                <w:lang w:val="ru-RU" w:bidi="ar-SA"/>
              </w:rPr>
              <w:t>, т/ч</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bidi="ar-SA"/>
              </w:rPr>
              <w:t>249/904,6</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10.</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Аэродинамическое сопротивление газового тракта котла, не более, Па</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bidi="ar-SA"/>
              </w:rPr>
              <w:t>2178</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11.</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Допустимый уровень звука, создаваемый оборудованием комплектной поставки на расстоянии одного метра от основного, вспомогательного оборудования и среза дымовой трубы, дБ не более</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rFonts w:ascii="Times New Roman" w:hAnsi="Times New Roman" w:cs="Times New Roman"/>
                <w:sz w:val="18"/>
                <w:szCs w:val="18"/>
              </w:rPr>
            </w:pPr>
            <w:r>
              <w:rPr>
                <w:rFonts w:cs="Times New Roman"/>
                <w:sz w:val="18"/>
                <w:szCs w:val="18"/>
              </w:rPr>
            </w:r>
          </w:p>
          <w:p>
            <w:pPr>
              <w:pStyle w:val="Normal"/>
              <w:widowControl w:val="false"/>
              <w:spacing w:lineRule="auto" w:line="240" w:before="0" w:after="200"/>
              <w:jc w:val="center"/>
              <w:rPr>
                <w:sz w:val="18"/>
                <w:szCs w:val="18"/>
              </w:rPr>
            </w:pPr>
            <w:r>
              <w:rPr>
                <w:rFonts w:cs="Times New Roman"/>
                <w:kern w:val="0"/>
                <w:sz w:val="18"/>
                <w:szCs w:val="18"/>
                <w:lang w:val="ru-RU" w:bidi="ar-SA"/>
              </w:rPr>
              <w:t>80</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12.</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highlight w:val="white"/>
                <w:lang w:val="ru-RU" w:bidi="ar-SA"/>
              </w:rPr>
              <w:t>Данные по котловой воде:</w:t>
            </w:r>
          </w:p>
        </w:tc>
        <w:tc>
          <w:tcPr>
            <w:tcW w:w="1435"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color w:val="000000"/>
                <w:kern w:val="0"/>
                <w:sz w:val="18"/>
                <w:szCs w:val="18"/>
              </w:rPr>
              <w:t>-//-</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color w:val="000000"/>
                <w:kern w:val="0"/>
                <w:sz w:val="18"/>
                <w:szCs w:val="18"/>
              </w:rPr>
              <w:t>-//-</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sz w:val="18"/>
                <w:szCs w:val="18"/>
              </w:rPr>
            </w:pPr>
            <w:r>
              <w:rPr>
                <w:b/>
                <w:sz w:val="18"/>
                <w:szCs w:val="18"/>
              </w:rPr>
              <w:t>-//-</w:t>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12.1</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прозрачность по шрифту, см не менее</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30</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12.2</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Карбонатная жёсткость, мкг-экв/кг, не более</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700</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12.3</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растворённого кислорода, мкг/кг, не более</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50</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12.4</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соединений железа (в пересчёте на Fe), мкг/кг, не более</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500</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12.5</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 xml:space="preserve">значение рН при 25 </w:t>
            </w:r>
            <w:r>
              <w:rPr>
                <w:rFonts w:cs="Times New Roman"/>
                <w:kern w:val="0"/>
                <w:sz w:val="18"/>
                <w:szCs w:val="18"/>
                <w:highlight w:val="white"/>
                <w:vertAlign w:val="superscript"/>
                <w:lang w:val="ru-RU" w:bidi="ar-SA"/>
              </w:rPr>
              <w:t>о</w:t>
            </w:r>
            <w:r>
              <w:rPr>
                <w:rFonts w:cs="Times New Roman"/>
                <w:kern w:val="0"/>
                <w:sz w:val="18"/>
                <w:szCs w:val="18"/>
                <w:highlight w:val="white"/>
                <w:lang w:val="ru-RU" w:bidi="ar-SA"/>
              </w:rPr>
              <w:t>С</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7-11</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12.6</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свободная углекислота, мг/кг</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отсутствует</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12.7</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содержание нефтепродуктов, мг/кг, не более</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1</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highlight w:val="white"/>
                <w:lang w:val="ru-RU" w:bidi="ar-SA"/>
              </w:rPr>
              <w:t>Данные по конструкции:</w:t>
            </w:r>
          </w:p>
        </w:tc>
        <w:tc>
          <w:tcPr>
            <w:tcW w:w="1435"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color w:val="000000"/>
                <w:kern w:val="0"/>
                <w:sz w:val="18"/>
                <w:szCs w:val="18"/>
              </w:rPr>
              <w:t>-//-</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color w:val="000000"/>
                <w:kern w:val="0"/>
                <w:sz w:val="18"/>
                <w:szCs w:val="18"/>
              </w:rPr>
              <w:t>-//-</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sz w:val="18"/>
                <w:szCs w:val="18"/>
              </w:rPr>
            </w:pPr>
            <w:r>
              <w:rPr>
                <w:b/>
                <w:kern w:val="0"/>
                <w:sz w:val="18"/>
                <w:szCs w:val="18"/>
              </w:rPr>
              <w:t>-//-</w:t>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13.1</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тип котла</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Водогрейный. Жаротрубный, трёхходовой, под наддувом</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13.2</w:t>
            </w:r>
          </w:p>
        </w:tc>
        <w:tc>
          <w:tcPr>
            <w:tcW w:w="3340" w:type="dxa"/>
            <w:tcBorders>
              <w:left w:val="single" w:sz="4" w:space="0" w:color="000000"/>
              <w:bottom w:val="single" w:sz="4" w:space="0" w:color="000000"/>
            </w:tcBorders>
            <w:shd w:fill="FFFFFF" w:val="clear"/>
          </w:tcPr>
          <w:p>
            <w:pPr>
              <w:pStyle w:val="ListBullet"/>
              <w:widowControl w:val="false"/>
              <w:numPr>
                <w:ilvl w:val="0"/>
                <w:numId w:val="0"/>
              </w:numPr>
              <w:spacing w:lineRule="auto" w:line="240" w:before="0" w:after="0"/>
              <w:ind w:left="0" w:hanging="0"/>
              <w:contextualSpacing/>
              <w:jc w:val="left"/>
              <w:rPr>
                <w:sz w:val="18"/>
                <w:szCs w:val="18"/>
              </w:rPr>
            </w:pPr>
            <w:r>
              <w:rPr>
                <w:rFonts w:cs="Times New Roman"/>
                <w:kern w:val="0"/>
                <w:sz w:val="18"/>
                <w:szCs w:val="18"/>
                <w:highlight w:val="white"/>
                <w:lang w:val="ru-RU" w:bidi="ar-SA"/>
              </w:rPr>
              <w:t>габаритные размеры (Д×Ш×В), не более, мм</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7461х3060х3276</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95"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13.3</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сухой вес котла, кг, не более</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31 025</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13.4</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вес котла с водой, кг, не более</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bidi="ar-SA"/>
              </w:rPr>
              <w:t>51 025</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13.5</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подача/обратка теплоносителя Ду, мм</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400</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13.6</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val="ru-RU" w:bidi="ar-SA"/>
              </w:rPr>
              <w:t>предохранительные клапана Ду, мм</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125</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13.7</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highlight w:val="white"/>
                <w:lang w:bidi="ar-SA"/>
              </w:rPr>
              <w:t>диаметр дымохода</w:t>
            </w:r>
            <w:r>
              <w:rPr>
                <w:rFonts w:cs="Times New Roman"/>
                <w:kern w:val="0"/>
                <w:sz w:val="18"/>
                <w:szCs w:val="18"/>
                <w:highlight w:val="white"/>
                <w:lang w:val="ru-RU" w:bidi="ar-SA"/>
              </w:rPr>
              <w:t xml:space="preserve"> Ду, мм</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1000</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97"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13.8</w:t>
            </w:r>
          </w:p>
        </w:tc>
        <w:tc>
          <w:tcPr>
            <w:tcW w:w="3340" w:type="dxa"/>
            <w:tcBorders>
              <w:left w:val="single" w:sz="4" w:space="0" w:color="000000"/>
              <w:bottom w:val="single" w:sz="4" w:space="0" w:color="000000"/>
            </w:tcBorders>
            <w:shd w:fill="FFFFFF" w:val="clear"/>
          </w:tcPr>
          <w:p>
            <w:pPr>
              <w:pStyle w:val="ListBullet"/>
              <w:widowControl w:val="false"/>
              <w:numPr>
                <w:ilvl w:val="0"/>
                <w:numId w:val="0"/>
              </w:numPr>
              <w:spacing w:lineRule="auto" w:line="240" w:before="0" w:after="200"/>
              <w:ind w:left="0" w:hanging="0"/>
              <w:contextualSpacing/>
              <w:jc w:val="left"/>
              <w:rPr>
                <w:sz w:val="18"/>
                <w:szCs w:val="18"/>
              </w:rPr>
            </w:pPr>
            <w:r>
              <w:rPr>
                <w:rFonts w:cs="Times New Roman"/>
                <w:kern w:val="0"/>
                <w:sz w:val="18"/>
                <w:szCs w:val="18"/>
                <w:highlight w:val="white"/>
                <w:lang w:val="ru-RU" w:bidi="ar-SA"/>
              </w:rPr>
              <w:t xml:space="preserve">наличие заводского теплоизоляционного покрытия с потерями тепла не выше 0,5 % от </w:t>
            </w:r>
            <w:r>
              <w:rPr>
                <w:rFonts w:cs="Times New Roman"/>
                <w:kern w:val="0"/>
                <w:sz w:val="18"/>
                <w:szCs w:val="18"/>
                <w:highlight w:val="white"/>
                <w:lang w:bidi="ar-SA"/>
              </w:rPr>
              <w:t>Q</w:t>
            </w:r>
          </w:p>
        </w:tc>
        <w:tc>
          <w:tcPr>
            <w:tcW w:w="1435" w:type="dxa"/>
            <w:tcBorders>
              <w:left w:val="single" w:sz="4" w:space="0" w:color="000000"/>
              <w:bottom w:val="single" w:sz="4" w:space="0" w:color="000000"/>
            </w:tcBorders>
            <w:shd w:fill="FFFFFF" w:val="clear"/>
          </w:tcPr>
          <w:p>
            <w:pPr>
              <w:pStyle w:val="ListBullet"/>
              <w:widowControl w:val="false"/>
              <w:numPr>
                <w:ilvl w:val="0"/>
                <w:numId w:val="0"/>
              </w:numPr>
              <w:spacing w:lineRule="auto" w:line="240" w:before="0" w:after="200"/>
              <w:ind w:left="0" w:hanging="0"/>
              <w:contextualSpacing/>
              <w:jc w:val="center"/>
              <w:rPr>
                <w:sz w:val="18"/>
                <w:szCs w:val="18"/>
              </w:rPr>
            </w:pPr>
            <w:r>
              <w:rPr>
                <w:rFonts w:cs="Times New Roman"/>
                <w:kern w:val="0"/>
                <w:sz w:val="18"/>
                <w:szCs w:val="18"/>
                <w:highlight w:val="white"/>
                <w:lang w:val="ru-RU" w:bidi="ar-SA"/>
              </w:rPr>
              <w:t>обязательно</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13.9</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полное открытие фронтальной дверцы без демонтажа горелки</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13.10</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highlight w:val="white"/>
                <w:lang w:val="ru-RU" w:bidi="ar-SA"/>
              </w:rPr>
              <w:t>визуальный осмотр через смотровой глазок и люки</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97"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13.11</w:t>
            </w:r>
          </w:p>
        </w:tc>
        <w:tc>
          <w:tcPr>
            <w:tcW w:w="3340" w:type="dxa"/>
            <w:tcBorders>
              <w:left w:val="single" w:sz="4" w:space="0" w:color="000000"/>
              <w:bottom w:val="single" w:sz="4" w:space="0" w:color="000000"/>
            </w:tcBorders>
            <w:shd w:fill="FFFFFF" w:val="clear"/>
          </w:tcPr>
          <w:p>
            <w:pPr>
              <w:pStyle w:val="ListBullet"/>
              <w:widowControl w:val="false"/>
              <w:numPr>
                <w:ilvl w:val="0"/>
                <w:numId w:val="0"/>
              </w:numPr>
              <w:spacing w:lineRule="auto" w:line="240" w:before="0" w:after="200"/>
              <w:ind w:left="0" w:hanging="0"/>
              <w:contextualSpacing/>
              <w:jc w:val="left"/>
              <w:rPr>
                <w:sz w:val="18"/>
                <w:szCs w:val="18"/>
              </w:rPr>
            </w:pPr>
            <w:r>
              <w:rPr>
                <w:rFonts w:cs="Times New Roman"/>
                <w:kern w:val="0"/>
                <w:sz w:val="18"/>
                <w:szCs w:val="18"/>
                <w:highlight w:val="white"/>
                <w:lang w:val="ru-RU" w:bidi="ar-SA"/>
              </w:rPr>
              <w:t>жаровая труба — гладкостенная, полностью омываемая теплоносителем. Сталь 09Г2С</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highlight w:val="white"/>
                <w:lang w:val="ru-RU" w:bidi="ar-SA"/>
              </w:rPr>
              <w:t>обязательно</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13.12</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lang w:val="ru-RU" w:bidi="ar-SA"/>
              </w:rPr>
              <w:t>прочная база на стальных опорах, возможность установки без фундамента</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обязательно</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bidi="ar-SA"/>
              </w:rPr>
              <w:t>13.13</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слив воды с котла</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lang w:val="ru-RU" w:bidi="ar-SA"/>
              </w:rPr>
              <w:t>самослив</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shd w:fill="auto" w:val="clear"/>
                <w:lang w:bidi="ar-SA"/>
              </w:rPr>
              <w:t>13.14</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shd w:fill="auto" w:val="clear"/>
                <w:lang w:val="ru-RU" w:bidi="ar-SA"/>
              </w:rPr>
              <w:t xml:space="preserve">наличие двух торосферических днищ: в огневой камере    и корпусе котла </w:t>
            </w:r>
            <w:r>
              <w:rPr>
                <w:rFonts w:cs="Times New Roman"/>
                <w:kern w:val="0"/>
                <w:sz w:val="18"/>
                <w:szCs w:val="18"/>
                <w:shd w:fill="auto" w:val="clear"/>
                <w:vertAlign w:val="superscript"/>
                <w:lang w:val="ru-RU" w:bidi="ar-SA"/>
              </w:rPr>
              <w:t>*)</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shd w:fill="auto" w:val="clear"/>
                <w:lang w:val="ru-RU" w:bidi="ar-SA"/>
              </w:rPr>
              <w:t>обязательно</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shd w:fill="auto" w:val="clear"/>
                <w:lang w:bidi="ar-SA"/>
              </w:rPr>
              <w:t>13.15</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shd w:fill="auto" w:val="clear"/>
                <w:lang w:val="ru-RU" w:bidi="ar-SA"/>
              </w:rPr>
              <w:t xml:space="preserve">многослойная теплоизоляция фронтальной двери котла с применением жаропрочного бетона и минераловатных материалов </w:t>
            </w:r>
            <w:r>
              <w:rPr>
                <w:rFonts w:cs="Times New Roman"/>
                <w:kern w:val="0"/>
                <w:sz w:val="18"/>
                <w:szCs w:val="18"/>
                <w:shd w:fill="auto" w:val="clear"/>
                <w:vertAlign w:val="superscript"/>
                <w:lang w:val="ru-RU" w:bidi="ar-SA"/>
              </w:rPr>
              <w:t>**)</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kern w:val="0"/>
                <w:sz w:val="18"/>
                <w:szCs w:val="18"/>
                <w:shd w:fill="auto" w:val="clear"/>
                <w:lang w:val="ru-RU" w:bidi="ar-SA"/>
              </w:rPr>
              <w:t>обязательно</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bidi="ar-SA"/>
              </w:rPr>
              <w:t>14.</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Комплект поставки:</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sz w:val="18"/>
                <w:szCs w:val="18"/>
              </w:rPr>
              <w:t>полный</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sz w:val="18"/>
                <w:szCs w:val="18"/>
              </w:rPr>
            </w:pPr>
            <w:r>
              <w:rPr>
                <w:b/>
                <w:kern w:val="0"/>
                <w:sz w:val="18"/>
                <w:szCs w:val="18"/>
              </w:rPr>
              <w:t>-//-</w:t>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bidi="ar-SA"/>
              </w:rPr>
              <w:t>14.1</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color w:val="000000"/>
                <w:sz w:val="18"/>
                <w:szCs w:val="18"/>
              </w:rPr>
            </w:pPr>
            <w:r>
              <w:rPr>
                <w:rFonts w:cs="Times New Roman"/>
                <w:b w:val="false"/>
                <w:i w:val="false"/>
                <w:strike w:val="false"/>
                <w:dstrike w:val="false"/>
                <w:color w:val="000000"/>
                <w:kern w:val="0"/>
                <w:sz w:val="18"/>
                <w:szCs w:val="18"/>
                <w:u w:val="none"/>
                <w:shd w:fill="auto" w:val="clear"/>
                <w:lang w:val="ru-RU" w:bidi="ar-SA"/>
              </w:rPr>
              <w:t xml:space="preserve"> </w:t>
            </w:r>
            <w:r>
              <w:rPr>
                <w:rFonts w:cs="Times New Roman"/>
                <w:b w:val="false"/>
                <w:i w:val="false"/>
                <w:strike w:val="false"/>
                <w:dstrike w:val="false"/>
                <w:color w:val="000000"/>
                <w:kern w:val="0"/>
                <w:sz w:val="18"/>
                <w:szCs w:val="18"/>
                <w:highlight w:val="white"/>
                <w:u w:val="none"/>
                <w:shd w:fill="FFFF00" w:val="clear"/>
                <w:lang w:val="ru-RU" w:bidi="ar-SA"/>
              </w:rPr>
              <w:t>Котел — 6 к-тов</w:t>
            </w:r>
          </w:p>
          <w:p>
            <w:pPr>
              <w:pStyle w:val="Normal"/>
              <w:widowControl w:val="false"/>
              <w:spacing w:lineRule="auto" w:line="240" w:before="0" w:after="200"/>
              <w:ind w:left="0" w:hanging="0"/>
              <w:jc w:val="left"/>
              <w:rPr>
                <w:color w:val="000000"/>
                <w:sz w:val="18"/>
                <w:szCs w:val="18"/>
              </w:rPr>
            </w:pPr>
            <w:r>
              <w:rPr>
                <w:rFonts w:cs="Times New Roman"/>
                <w:b w:val="false"/>
                <w:i w:val="false"/>
                <w:strike w:val="false"/>
                <w:dstrike w:val="false"/>
                <w:color w:val="000000"/>
                <w:kern w:val="0"/>
                <w:sz w:val="18"/>
                <w:szCs w:val="18"/>
                <w:highlight w:val="white"/>
                <w:u w:val="none"/>
                <w:shd w:fill="FFFF00" w:val="clear"/>
                <w:lang w:val="ru-RU" w:bidi="ar-SA"/>
              </w:rPr>
              <w:t>с установленным оборудованием и приборами безопасности:</w:t>
            </w:r>
          </w:p>
          <w:p>
            <w:pPr>
              <w:pStyle w:val="Normal"/>
              <w:widowControl w:val="false"/>
              <w:spacing w:lineRule="auto" w:line="240" w:before="0" w:after="200"/>
              <w:ind w:left="0" w:hanging="0"/>
              <w:jc w:val="left"/>
              <w:rPr>
                <w:color w:val="000000"/>
                <w:sz w:val="18"/>
                <w:szCs w:val="18"/>
              </w:rPr>
            </w:pPr>
            <w:r>
              <w:rPr>
                <w:rFonts w:cs="Times New Roman"/>
                <w:b w:val="false"/>
                <w:i w:val="false"/>
                <w:strike w:val="false"/>
                <w:dstrike w:val="false"/>
                <w:color w:val="000000"/>
                <w:kern w:val="0"/>
                <w:sz w:val="18"/>
                <w:szCs w:val="18"/>
                <w:u w:val="none"/>
                <w:shd w:fill="auto" w:val="clear"/>
                <w:lang w:val="ru-RU" w:bidi="ar-SA"/>
              </w:rPr>
              <w:t>Ф</w:t>
            </w:r>
            <w:r>
              <w:rPr>
                <w:b w:val="false"/>
                <w:i w:val="false"/>
                <w:strike w:val="false"/>
                <w:dstrike w:val="false"/>
                <w:color w:val="000000"/>
                <w:kern w:val="0"/>
                <w:sz w:val="18"/>
                <w:szCs w:val="18"/>
                <w:u w:val="none"/>
                <w:shd w:fill="auto" w:val="clear"/>
              </w:rPr>
              <w:t>ланец под горелку  комбинированную (газ/диз.топливо)"Бернар" с выносным насосом диз.топлива, Q=2500-19000кВт,     Под установку горелки на котле</w:t>
            </w:r>
            <w:r>
              <w:rPr>
                <w:rFonts w:cs="Times New Roman"/>
                <w:b w:val="false"/>
                <w:i w:val="false"/>
                <w:strike w:val="false"/>
                <w:dstrike w:val="false"/>
                <w:color w:val="000000"/>
                <w:kern w:val="0"/>
                <w:sz w:val="18"/>
                <w:szCs w:val="18"/>
                <w:u w:val="none"/>
                <w:shd w:fill="auto" w:val="clear"/>
              </w:rPr>
              <w:t xml:space="preserve"> -6 шт. или эквивалент</w:t>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shd w:fill="auto" w:val="clear"/>
              </w:rPr>
              <w:t xml:space="preserve"> </w:t>
            </w:r>
            <w:r>
              <w:rPr>
                <w:b w:val="false"/>
                <w:i w:val="false"/>
                <w:strike w:val="false"/>
                <w:dstrike w:val="false"/>
                <w:color w:val="000000"/>
                <w:kern w:val="0"/>
                <w:sz w:val="18"/>
                <w:szCs w:val="18"/>
                <w:u w:val="none"/>
                <w:shd w:fill="auto" w:val="clear"/>
              </w:rPr>
              <w:t>Блок термастатов для водогрейного котла до 160С (перегретая вода)- Блок термостатов для ЭНТРОМАТИК или эквивалент- 6 шт.</w:t>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shd w:fill="auto" w:val="clear"/>
              </w:rPr>
              <w:t>Термопреобразователь, ОВЕН или эквивалент-Датчик температуры ТКО/ТКП -12 шт.</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shd w:fill="auto" w:val="clear"/>
              </w:rPr>
              <w:t>Гильза, ОВЕН или эквивалент- для датчика температуры- 30 шт.</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shd w:fill="auto" w:val="clear"/>
              </w:rPr>
              <w:t>Термопреобразователь, ОВЕН или эквивалент-Датчик температуры стратегии — 2 шт.</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shd w:fill="auto" w:val="clear"/>
              </w:rPr>
              <w:t>Гильза, ОВЕН или эквивалент- Датчик температуры стратегии — 2 шт.</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shd w:fill="auto" w:val="clear"/>
              </w:rPr>
              <w:t>Реле давления- Реле минимального давления РИДАН или эквивалент — 6 шт.</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shd w:fill="auto" w:val="clear"/>
              </w:rPr>
              <w:t>Реле давления- Реле максимального давления РИДАН или эквивалент — 6 шт.</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rPr>
            </w:pPr>
            <w:r>
              <w:rPr>
                <w:b w:val="false"/>
                <w:i w:val="false"/>
                <w:strike w:val="false"/>
                <w:dstrike w:val="false"/>
                <w:color w:val="000000"/>
                <w:kern w:val="0"/>
                <w:sz w:val="18"/>
                <w:szCs w:val="18"/>
                <w:u w:val="none"/>
                <w:shd w:fill="auto" w:val="clear"/>
              </w:rPr>
              <w:t>Автоматика ЭНРОМАТИК или эквивалент- система управления- 6 шт.</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left"/>
              <w:rPr>
                <w:color w:val="000000"/>
                <w:sz w:val="18"/>
                <w:szCs w:val="18"/>
              </w:rPr>
            </w:pPr>
            <w:r>
              <w:rPr>
                <w:color w:val="000000"/>
                <w:sz w:val="18"/>
                <w:szCs w:val="18"/>
              </w:rPr>
            </w:r>
          </w:p>
          <w:p>
            <w:pPr>
              <w:pStyle w:val="Normal"/>
              <w:widowControl w:val="false"/>
              <w:spacing w:lineRule="auto" w:line="240" w:before="0" w:after="200"/>
              <w:ind w:left="0" w:hanging="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before="0" w:after="200"/>
              <w:ind w:left="0" w:hanging="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before="0" w:after="200"/>
              <w:ind w:left="0" w:hanging="0"/>
              <w:jc w:val="left"/>
              <w:rPr>
                <w:color w:val="000000"/>
                <w:sz w:val="18"/>
                <w:szCs w:val="18"/>
              </w:rPr>
            </w:pPr>
            <w:r>
              <w:rPr>
                <w:rFonts w:cs="Times New Roman"/>
                <w:b w:val="false"/>
                <w:i w:val="false"/>
                <w:strike w:val="false"/>
                <w:dstrike w:val="false"/>
                <w:color w:val="000000"/>
                <w:kern w:val="0"/>
                <w:sz w:val="18"/>
                <w:szCs w:val="18"/>
                <w:u w:val="none"/>
                <w:shd w:fill="auto" w:val="clear"/>
              </w:rPr>
              <w:t>HRX2080MG.MD.S.RU.A.8.125.EI</w:t>
            </w:r>
          </w:p>
          <w:p>
            <w:pPr>
              <w:pStyle w:val="Normal"/>
              <w:widowControl w:val="false"/>
              <w:spacing w:lineRule="auto" w:line="240" w:before="0" w:after="200"/>
              <w:ind w:left="0" w:hanging="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rPr>
            </w:pPr>
            <w:r>
              <w:rPr>
                <w:rFonts w:cs="Times New Roman"/>
                <w:b w:val="false"/>
                <w:i w:val="false"/>
                <w:strike w:val="false"/>
                <w:dstrike w:val="false"/>
                <w:color w:val="000000"/>
                <w:kern w:val="0"/>
                <w:sz w:val="18"/>
                <w:szCs w:val="18"/>
                <w:u w:val="none"/>
                <w:shd w:fill="auto" w:val="clear"/>
                <w:lang w:val="ru-RU" w:bidi="ar-SA"/>
              </w:rPr>
              <w:t>Т</w:t>
            </w:r>
            <w:r>
              <w:rPr>
                <w:rFonts w:cs="Times New Roman"/>
                <w:b w:val="false"/>
                <w:i w:val="false"/>
                <w:strike w:val="false"/>
                <w:dstrike w:val="false"/>
                <w:color w:val="000000"/>
                <w:kern w:val="0"/>
                <w:sz w:val="18"/>
                <w:szCs w:val="18"/>
                <w:u w:val="none"/>
                <w:shd w:fill="auto" w:val="clear"/>
              </w:rPr>
              <w:t>Р 160</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rPr>
            </w:pPr>
            <w:r>
              <w:rPr>
                <w:rFonts w:cs="Times New Roman"/>
                <w:b w:val="false"/>
                <w:i w:val="false"/>
                <w:strike w:val="false"/>
                <w:dstrike w:val="false"/>
                <w:color w:val="000000"/>
                <w:kern w:val="0"/>
                <w:sz w:val="18"/>
                <w:szCs w:val="18"/>
                <w:u w:val="none"/>
                <w:shd w:fill="auto" w:val="clear"/>
              </w:rPr>
              <w:t>ДТС024-РТ1000.В2.30/1</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b/>
                <w:bCs/>
              </w:rPr>
            </w:pPr>
            <w:r>
              <w:rPr>
                <w:rFonts w:cs="Times New Roman"/>
                <w:b/>
                <w:bCs/>
                <w:i w:val="false"/>
                <w:strike w:val="false"/>
                <w:dstrike w:val="false"/>
                <w:color w:val="000000"/>
                <w:kern w:val="0"/>
                <w:sz w:val="18"/>
                <w:szCs w:val="18"/>
                <w:u w:val="none"/>
                <w:shd w:fill="auto" w:val="clear"/>
              </w:rPr>
              <w:t>ГЗ.16.3.3.200</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rPr>
            </w:pPr>
            <w:r>
              <w:rPr>
                <w:rFonts w:cs="Times New Roman"/>
                <w:b w:val="false"/>
                <w:i w:val="false"/>
                <w:strike w:val="false"/>
                <w:dstrike w:val="false"/>
                <w:color w:val="000000"/>
                <w:kern w:val="0"/>
                <w:sz w:val="18"/>
                <w:szCs w:val="18"/>
                <w:u w:val="none"/>
                <w:shd w:fill="auto" w:val="clear"/>
              </w:rPr>
              <w:t>ДТС024-РТ1000.В2.30/1</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b/>
                <w:bCs/>
              </w:rPr>
            </w:pPr>
            <w:r>
              <w:rPr>
                <w:rFonts w:cs="Times New Roman"/>
                <w:b/>
                <w:bCs/>
                <w:i w:val="false"/>
                <w:strike w:val="false"/>
                <w:dstrike w:val="false"/>
                <w:color w:val="000000"/>
                <w:kern w:val="0"/>
                <w:sz w:val="18"/>
                <w:szCs w:val="18"/>
                <w:u w:val="none"/>
                <w:shd w:fill="auto" w:val="clear"/>
              </w:rPr>
              <w:t>ГЗ.16.3.3.400</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rPr>
            </w:pPr>
            <w:r>
              <w:rPr>
                <w:rFonts w:cs="Times New Roman"/>
                <w:b w:val="false"/>
                <w:i w:val="false"/>
                <w:strike w:val="false"/>
                <w:dstrike w:val="false"/>
                <w:color w:val="000000"/>
                <w:kern w:val="0"/>
                <w:sz w:val="18"/>
                <w:szCs w:val="18"/>
                <w:u w:val="none"/>
                <w:shd w:fill="auto" w:val="clear"/>
              </w:rPr>
              <w:t>KPI-35R(-0,2...7,5 бар) G1/2</w:t>
            </w:r>
          </w:p>
          <w:p>
            <w:pPr>
              <w:pStyle w:val="Normal"/>
              <w:widowControl w:val="false"/>
              <w:spacing w:lineRule="auto" w:line="240"/>
              <w:jc w:val="left"/>
              <w:rPr>
                <w:color w:val="000000"/>
                <w:sz w:val="18"/>
                <w:szCs w:val="18"/>
              </w:rPr>
            </w:pPr>
            <w:r>
              <w:rPr>
                <w:color w:val="000000"/>
                <w:sz w:val="18"/>
                <w:szCs w:val="18"/>
              </w:rPr>
            </w:r>
          </w:p>
          <w:p>
            <w:pPr>
              <w:pStyle w:val="Normal"/>
              <w:widowControl w:val="false"/>
              <w:spacing w:lineRule="auto" w:line="240"/>
              <w:jc w:val="left"/>
              <w:rPr>
                <w:color w:val="000000"/>
                <w:sz w:val="18"/>
                <w:szCs w:val="18"/>
              </w:rPr>
            </w:pPr>
            <w:r>
              <w:rPr>
                <w:rFonts w:cs="Times New Roman"/>
                <w:b w:val="false"/>
                <w:i w:val="false"/>
                <w:strike w:val="false"/>
                <w:dstrike w:val="false"/>
                <w:color w:val="000000"/>
                <w:kern w:val="0"/>
                <w:sz w:val="18"/>
                <w:szCs w:val="18"/>
                <w:u w:val="none"/>
                <w:shd w:fill="auto" w:val="clear"/>
              </w:rPr>
              <w:t>KPI-35R(2...14 бар) G1/4</w:t>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highlight w:val="none"/>
                <w:shd w:fill="auto" w:val="clear"/>
              </w:rPr>
            </w:pPr>
            <w:r>
              <w:rPr>
                <w:color w:val="000000"/>
                <w:sz w:val="18"/>
                <w:szCs w:val="18"/>
                <w:shd w:fill="auto" w:val="clear"/>
              </w:rPr>
            </w:r>
          </w:p>
          <w:p>
            <w:pPr>
              <w:pStyle w:val="Normal"/>
              <w:widowControl w:val="false"/>
              <w:spacing w:lineRule="auto" w:line="240"/>
              <w:jc w:val="left"/>
              <w:rPr>
                <w:color w:val="000000"/>
                <w:sz w:val="18"/>
                <w:szCs w:val="18"/>
              </w:rPr>
            </w:pPr>
            <w:r>
              <w:rPr>
                <w:rFonts w:cs="Times New Roman"/>
                <w:b w:val="false"/>
                <w:i w:val="false"/>
                <w:strike w:val="false"/>
                <w:dstrike w:val="false"/>
                <w:color w:val="000000"/>
                <w:kern w:val="0"/>
                <w:sz w:val="18"/>
                <w:szCs w:val="18"/>
                <w:u w:val="none"/>
                <w:shd w:fill="auto" w:val="clear"/>
              </w:rPr>
              <w:t>120MS</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наименования, характеристик, количества</w:t>
            </w:r>
          </w:p>
        </w:tc>
        <w:tc>
          <w:tcPr>
            <w:tcW w:w="1476" w:type="dxa"/>
            <w:tcBorders>
              <w:left w:val="single" w:sz="4" w:space="0" w:color="000000"/>
              <w:bottom w:val="single" w:sz="4" w:space="0" w:color="000000"/>
            </w:tcBorders>
            <w:shd w:fill="FFFFFF" w:val="clear"/>
          </w:tcPr>
          <w:p>
            <w:pPr>
              <w:pStyle w:val="Normal"/>
              <w:widowControl w:val="false"/>
              <w:spacing w:lineRule="auto" w:line="240"/>
              <w:jc w:val="left"/>
              <w:rPr>
                <w:rFonts w:cs="Times New Roman"/>
                <w:sz w:val="18"/>
                <w:szCs w:val="18"/>
                <w:highlight w:val="yellow"/>
              </w:rPr>
            </w:pPr>
            <w:r>
              <w:rPr>
                <w:rFonts w:cs="Times New Roman"/>
                <w:sz w:val="18"/>
                <w:szCs w:val="18"/>
                <w:highlight w:val="yellow"/>
              </w:rPr>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bidi="ar-SA"/>
              </w:rPr>
              <w:t>14.2</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ind w:left="0" w:hanging="0"/>
              <w:jc w:val="left"/>
              <w:rPr>
                <w:sz w:val="18"/>
                <w:szCs w:val="18"/>
              </w:rPr>
            </w:pPr>
            <w:r>
              <w:rPr>
                <w:rFonts w:cs="Times New Roman"/>
                <w:kern w:val="0"/>
                <w:sz w:val="18"/>
                <w:szCs w:val="18"/>
                <w:lang w:val="ru-RU" w:bidi="ar-SA"/>
              </w:rPr>
              <w:t>эксплуатационная документация</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200"/>
              <w:jc w:val="center"/>
              <w:rPr>
                <w:sz w:val="18"/>
                <w:szCs w:val="18"/>
              </w:rPr>
            </w:pPr>
            <w:r>
              <w:rPr>
                <w:rFonts w:cs="Times New Roman"/>
                <w:sz w:val="18"/>
                <w:szCs w:val="18"/>
                <w:shd w:fill="auto" w:val="clear"/>
              </w:rPr>
              <w:t>Наличие</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val="false"/>
                <w:bCs w:val="false"/>
                <w:color w:val="000000"/>
                <w:kern w:val="0"/>
                <w:sz w:val="18"/>
                <w:szCs w:val="18"/>
              </w:rPr>
              <w:t>Согласие с требованием</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15.</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Требования по надёжности:</w:t>
            </w:r>
          </w:p>
        </w:tc>
        <w:tc>
          <w:tcPr>
            <w:tcW w:w="1435"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sz w:val="18"/>
                <w:szCs w:val="18"/>
              </w:rPr>
            </w:pPr>
            <w:r>
              <w:rPr>
                <w:b/>
                <w:sz w:val="18"/>
                <w:szCs w:val="18"/>
              </w:rPr>
              <w:t>-//-</w:t>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bidi="ar-SA"/>
              </w:rPr>
              <w:t>15.1</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Назначенный ресурс, не менее, ч</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200 000</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bidi="ar-SA"/>
              </w:rPr>
              <w:t>15.2</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Назначенный срок службы, не менее, лет</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0"/>
              <w:jc w:val="center"/>
              <w:rPr>
                <w:sz w:val="18"/>
                <w:szCs w:val="18"/>
              </w:rPr>
            </w:pPr>
            <w:r>
              <w:rPr>
                <w:rFonts w:cs="Times New Roman"/>
                <w:kern w:val="0"/>
                <w:sz w:val="18"/>
                <w:szCs w:val="18"/>
                <w:highlight w:val="white"/>
                <w:lang w:val="ru-RU" w:bidi="ar-SA"/>
              </w:rPr>
              <w:t>25</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Указание характеристик</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r>
        <w:trPr>
          <w:trHeight w:val="476" w:hRule="atLeast"/>
        </w:trPr>
        <w:tc>
          <w:tcPr>
            <w:tcW w:w="720" w:type="dxa"/>
            <w:tcBorders>
              <w:left w:val="single" w:sz="4" w:space="0" w:color="000000"/>
              <w:bottom w:val="single" w:sz="4" w:space="0" w:color="000000"/>
            </w:tcBorders>
            <w:shd w:fill="FFFFFF" w:val="clear"/>
          </w:tcPr>
          <w:p>
            <w:pPr>
              <w:pStyle w:val="Normal"/>
              <w:widowControl w:val="false"/>
              <w:spacing w:lineRule="auto" w:line="240" w:before="0" w:after="200"/>
              <w:jc w:val="left"/>
              <w:rPr>
                <w:sz w:val="18"/>
                <w:szCs w:val="18"/>
              </w:rPr>
            </w:pPr>
            <w:r>
              <w:rPr>
                <w:rFonts w:cs="Times New Roman"/>
                <w:kern w:val="0"/>
                <w:sz w:val="18"/>
                <w:szCs w:val="18"/>
                <w:lang w:val="ru-RU" w:bidi="ar-SA"/>
              </w:rPr>
              <w:t>15.3</w:t>
            </w:r>
          </w:p>
        </w:tc>
        <w:tc>
          <w:tcPr>
            <w:tcW w:w="3340" w:type="dxa"/>
            <w:tcBorders>
              <w:left w:val="single" w:sz="4" w:space="0" w:color="000000"/>
              <w:bottom w:val="single" w:sz="4" w:space="0" w:color="000000"/>
            </w:tcBorders>
            <w:shd w:fill="FFFFFF" w:val="clear"/>
          </w:tcPr>
          <w:p>
            <w:pPr>
              <w:pStyle w:val="Normal"/>
              <w:widowControl w:val="false"/>
              <w:spacing w:lineRule="auto" w:line="240" w:before="0" w:after="0"/>
              <w:ind w:left="0" w:hanging="0"/>
              <w:jc w:val="left"/>
              <w:rPr>
                <w:sz w:val="18"/>
                <w:szCs w:val="18"/>
              </w:rPr>
            </w:pPr>
            <w:r>
              <w:rPr>
                <w:rFonts w:cs="Times New Roman"/>
                <w:kern w:val="0"/>
                <w:sz w:val="18"/>
                <w:szCs w:val="18"/>
                <w:lang w:val="ru-RU" w:bidi="ar-SA"/>
              </w:rPr>
              <w:t>Количество пусков из холодного состояния</w:t>
            </w:r>
          </w:p>
        </w:tc>
        <w:tc>
          <w:tcPr>
            <w:tcW w:w="1435" w:type="dxa"/>
            <w:tcBorders>
              <w:left w:val="single" w:sz="4" w:space="0" w:color="000000"/>
              <w:bottom w:val="single" w:sz="4" w:space="0" w:color="000000"/>
            </w:tcBorders>
            <w:shd w:fill="FFFFFF" w:val="clear"/>
          </w:tcPr>
          <w:p>
            <w:pPr>
              <w:pStyle w:val="Normal"/>
              <w:widowControl w:val="false"/>
              <w:spacing w:lineRule="auto" w:line="240" w:before="0" w:after="0"/>
              <w:jc w:val="center"/>
              <w:rPr>
                <w:sz w:val="18"/>
                <w:szCs w:val="18"/>
              </w:rPr>
            </w:pPr>
            <w:r>
              <w:rPr>
                <w:rFonts w:cs="Times New Roman"/>
                <w:kern w:val="0"/>
                <w:sz w:val="18"/>
                <w:szCs w:val="18"/>
                <w:lang w:val="ru-RU" w:bidi="ar-SA"/>
              </w:rPr>
              <w:t>Не ограничено</w:t>
            </w:r>
          </w:p>
        </w:tc>
        <w:tc>
          <w:tcPr>
            <w:tcW w:w="1458"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color w:val="000000"/>
                <w:kern w:val="0"/>
                <w:sz w:val="18"/>
                <w:szCs w:val="18"/>
              </w:rPr>
              <w:t>Согласие с требованием</w:t>
            </w:r>
          </w:p>
        </w:tc>
        <w:tc>
          <w:tcPr>
            <w:tcW w:w="1476" w:type="dxa"/>
            <w:tcBorders>
              <w:left w:val="single" w:sz="4" w:space="0" w:color="000000"/>
              <w:bottom w:val="single" w:sz="4" w:space="0" w:color="000000"/>
            </w:tcBorders>
            <w:shd w:fill="FFFFFF" w:val="clear"/>
          </w:tcPr>
          <w:p>
            <w:pPr>
              <w:pStyle w:val="Normal"/>
              <w:widowControl w:val="false"/>
              <w:spacing w:lineRule="auto" w:line="240"/>
              <w:rPr>
                <w:sz w:val="18"/>
                <w:szCs w:val="18"/>
              </w:rPr>
            </w:pPr>
            <w:r>
              <w:rPr>
                <w:b/>
                <w:kern w:val="0"/>
                <w:sz w:val="18"/>
                <w:szCs w:val="18"/>
              </w:rPr>
              <w:t>-//-</w:t>
            </w:r>
          </w:p>
        </w:tc>
        <w:tc>
          <w:tcPr>
            <w:tcW w:w="1431" w:type="dxa"/>
            <w:tcBorders>
              <w:left w:val="single" w:sz="4" w:space="0" w:color="000000"/>
              <w:bottom w:val="single" w:sz="4" w:space="0" w:color="000000"/>
              <w:right w:val="single" w:sz="4" w:space="0" w:color="000000"/>
            </w:tcBorders>
            <w:shd w:fill="FFFFFF" w:val="clear"/>
          </w:tcPr>
          <w:p>
            <w:pPr>
              <w:pStyle w:val="Normal"/>
              <w:widowControl w:val="false"/>
              <w:spacing w:lineRule="auto" w:line="240"/>
              <w:rPr>
                <w:kern w:val="0"/>
                <w:sz w:val="18"/>
                <w:szCs w:val="18"/>
              </w:rPr>
            </w:pPr>
            <w:r>
              <w:rPr>
                <w:kern w:val="0"/>
                <w:sz w:val="18"/>
                <w:szCs w:val="18"/>
              </w:rPr>
            </w:r>
          </w:p>
        </w:tc>
      </w:tr>
    </w:tbl>
    <w:p>
      <w:pPr>
        <w:pStyle w:val="Heading1"/>
        <w:keepNext w:val="true"/>
        <w:keepLines w:val="false"/>
        <w:widowControl/>
        <w:numPr>
          <w:ilvl w:val="0"/>
          <w:numId w:val="0"/>
        </w:numPr>
        <w:suppressAutoHyphens w:val="false"/>
        <w:bidi w:val="0"/>
        <w:spacing w:before="360" w:after="360"/>
        <w:ind w:left="680" w:right="227" w:hanging="0"/>
        <w:jc w:val="left"/>
        <w:rPr>
          <w:sz w:val="24"/>
          <w:szCs w:val="24"/>
        </w:rPr>
      </w:pPr>
      <w:r>
        <w:br w:type="page"/>
      </w:r>
      <w:r>
        <w:rPr>
          <w:sz w:val="24"/>
          <w:szCs w:val="24"/>
        </w:rPr>
        <w:t xml:space="preserve">7. </w:t>
      </w:r>
      <w:bookmarkStart w:id="6" w:name="_Toc9"/>
      <w:r>
        <w:rPr>
          <w:sz w:val="24"/>
          <w:szCs w:val="24"/>
        </w:rPr>
        <w:t>график</w:t>
      </w:r>
      <w:r>
        <w:rPr>
          <w:sz w:val="24"/>
          <w:szCs w:val="24"/>
          <w:highlight w:val="white"/>
        </w:rPr>
        <w:t xml:space="preserve"> поставки</w:t>
      </w:r>
      <w:bookmarkEnd w:id="6"/>
    </w:p>
    <w:p>
      <w:pPr>
        <w:pStyle w:val="NormalIndent"/>
        <w:widowControl/>
        <w:tabs>
          <w:tab w:val="clear" w:pos="720"/>
          <w:tab w:val="left" w:pos="739" w:leader="none"/>
        </w:tabs>
        <w:suppressAutoHyphens w:val="false"/>
        <w:bidi w:val="0"/>
        <w:spacing w:before="60" w:after="60"/>
        <w:ind w:left="680" w:right="1417" w:hanging="0"/>
        <w:jc w:val="both"/>
        <w:rPr>
          <w:sz w:val="24"/>
          <w:szCs w:val="24"/>
        </w:rPr>
      </w:pPr>
      <w:r>
        <w:rPr>
          <w:sz w:val="24"/>
          <w:szCs w:val="24"/>
          <w:highlight w:val="white"/>
          <w:lang w:val="en-US"/>
        </w:rPr>
        <w:t>7.1. Котельное оборудование</w:t>
      </w:r>
      <w:r>
        <w:rPr>
          <w:sz w:val="24"/>
          <w:szCs w:val="24"/>
          <w:highlight w:val="white"/>
        </w:rPr>
        <w:t xml:space="preserve"> для объектов: «Газовые котельные в 252 кв., 101 кв. и 607 кв. г. Благовещенска» поставляется по адресу: Амурская область, Благовещенск, ул. Нагорная 19.</w:t>
      </w:r>
    </w:p>
    <w:p>
      <w:pPr>
        <w:pStyle w:val="Heading3"/>
        <w:ind w:left="709" w:right="0" w:hanging="0"/>
        <w:rPr>
          <w:rFonts w:ascii="Times New Roman" w:hAnsi="Times New Roman" w:eastAsia="Times New Roman" w:cs="Times New Roman"/>
          <w:b w:val="false"/>
          <w:bCs w:val="false"/>
          <w:color w:val="000000"/>
          <w:sz w:val="24"/>
          <w:szCs w:val="24"/>
          <w:highlight w:val="white"/>
        </w:rPr>
      </w:pPr>
      <w:r>
        <w:rPr>
          <w:rFonts w:eastAsia="Times New Roman" w:cs="Times New Roman"/>
          <w:b w:val="false"/>
          <w:bCs w:val="false"/>
          <w:color w:val="000000"/>
          <w:sz w:val="24"/>
          <w:szCs w:val="24"/>
          <w:highlight w:val="white"/>
        </w:rPr>
      </w:r>
    </w:p>
    <w:p>
      <w:pPr>
        <w:pStyle w:val="Heading3"/>
        <w:ind w:left="709" w:right="0" w:hanging="0"/>
        <w:rPr>
          <w:sz w:val="24"/>
          <w:szCs w:val="24"/>
        </w:rPr>
      </w:pPr>
      <w:bookmarkStart w:id="7" w:name="_Toc11"/>
      <w:r>
        <w:rPr>
          <w:rFonts w:eastAsia="Times New Roman" w:cs="Times New Roman"/>
          <w:b w:val="false"/>
          <w:bCs w:val="false"/>
          <w:color w:val="000000"/>
          <w:sz w:val="24"/>
          <w:szCs w:val="24"/>
          <w:highlight w:val="white"/>
        </w:rPr>
        <w:t xml:space="preserve">Таблица 1. Требования по срокам поставки продукции </w:t>
      </w:r>
      <w:bookmarkEnd w:id="7"/>
    </w:p>
    <w:p>
      <w:pPr>
        <w:pStyle w:val="NormalIndent"/>
        <w:rPr>
          <w:highlight w:val="white"/>
        </w:rPr>
      </w:pPr>
      <w:r>
        <w:rPr>
          <w:highlight w:val="white"/>
        </w:rPr>
      </w:r>
    </w:p>
    <w:tbl>
      <w:tblPr>
        <w:tblW w:w="8893" w:type="dxa"/>
        <w:jc w:val="left"/>
        <w:tblInd w:w="747" w:type="dxa"/>
        <w:tblLayout w:type="fixed"/>
        <w:tblCellMar>
          <w:top w:w="55" w:type="dxa"/>
          <w:left w:w="108" w:type="dxa"/>
          <w:bottom w:w="55" w:type="dxa"/>
          <w:right w:w="108" w:type="dxa"/>
        </w:tblCellMar>
        <w:tblLook w:val="04a0" w:noHBand="0" w:noVBand="1" w:firstColumn="1" w:lastRow="0" w:lastColumn="0" w:firstRow="1"/>
      </w:tblPr>
      <w:tblGrid>
        <w:gridCol w:w="490"/>
        <w:gridCol w:w="2091"/>
        <w:gridCol w:w="3698"/>
        <w:gridCol w:w="2613"/>
      </w:tblGrid>
      <w:tr>
        <w:trPr>
          <w:tblHeader w:val="true"/>
          <w:trHeight w:val="834" w:hRule="atLeast"/>
        </w:trPr>
        <w:tc>
          <w:tcPr>
            <w:tcW w:w="490" w:type="dxa"/>
            <w:tcBorders>
              <w:top w:val="single" w:sz="6" w:space="0" w:color="000000"/>
              <w:left w:val="single" w:sz="6" w:space="0" w:color="000000"/>
              <w:bottom w:val="single" w:sz="6" w:space="0" w:color="000000"/>
            </w:tcBorders>
            <w:vAlign w:val="center"/>
          </w:tcPr>
          <w:p>
            <w:pPr>
              <w:pStyle w:val="Normal"/>
              <w:widowControl w:val="false"/>
              <w:spacing w:before="0" w:after="0"/>
              <w:ind w:left="0" w:right="0" w:hanging="0"/>
              <w:jc w:val="center"/>
              <w:rPr>
                <w:sz w:val="18"/>
                <w:szCs w:val="18"/>
              </w:rPr>
            </w:pPr>
            <w:r>
              <w:rPr>
                <w:rFonts w:eastAsia="Times New Roman" w:cs="Times New Roman"/>
                <w:color w:val="000000"/>
                <w:sz w:val="18"/>
                <w:szCs w:val="18"/>
                <w:highlight w:val="white"/>
                <w:lang w:val="ru-RU" w:eastAsia="ru-RU" w:bidi="ar-SA"/>
              </w:rPr>
              <w:t xml:space="preserve"> № </w:t>
            </w:r>
            <w:r>
              <w:rPr>
                <w:rFonts w:eastAsia="Times New Roman" w:cs="Times New Roman"/>
                <w:color w:val="000000"/>
                <w:sz w:val="18"/>
                <w:szCs w:val="18"/>
                <w:highlight w:val="white"/>
                <w:lang w:val="ru-RU" w:eastAsia="ru-RU" w:bidi="ar-SA"/>
              </w:rPr>
              <w:t>п/п</w:t>
            </w:r>
          </w:p>
        </w:tc>
        <w:tc>
          <w:tcPr>
            <w:tcW w:w="2091" w:type="dxa"/>
            <w:tcBorders>
              <w:top w:val="single" w:sz="6" w:space="0" w:color="000000"/>
              <w:left w:val="single" w:sz="6" w:space="0" w:color="000000"/>
              <w:bottom w:val="single" w:sz="6" w:space="0" w:color="000000"/>
            </w:tcBorders>
            <w:vAlign w:val="center"/>
          </w:tcPr>
          <w:p>
            <w:pPr>
              <w:pStyle w:val="Normal"/>
              <w:widowControl w:val="false"/>
              <w:spacing w:before="0" w:after="0"/>
              <w:ind w:left="0" w:right="0" w:hanging="0"/>
              <w:jc w:val="center"/>
              <w:rPr>
                <w:sz w:val="18"/>
                <w:szCs w:val="18"/>
              </w:rPr>
            </w:pPr>
            <w:r>
              <w:rPr>
                <w:rFonts w:eastAsia="Times New Roman" w:cs="Times New Roman"/>
                <w:color w:val="000000"/>
                <w:sz w:val="18"/>
                <w:szCs w:val="18"/>
                <w:highlight w:val="white"/>
                <w:lang w:val="ru-RU" w:eastAsia="ru-RU" w:bidi="ar-SA"/>
              </w:rPr>
              <w:t>Наименование продукции / партии продукции</w:t>
            </w:r>
          </w:p>
        </w:tc>
        <w:tc>
          <w:tcPr>
            <w:tcW w:w="3698" w:type="dxa"/>
            <w:tcBorders>
              <w:top w:val="single" w:sz="6" w:space="0" w:color="000000"/>
              <w:left w:val="single" w:sz="6" w:space="0" w:color="000000"/>
              <w:bottom w:val="single" w:sz="6" w:space="0" w:color="000000"/>
            </w:tcBorders>
            <w:vAlign w:val="center"/>
          </w:tcPr>
          <w:p>
            <w:pPr>
              <w:pStyle w:val="Normal"/>
              <w:widowControl w:val="false"/>
              <w:spacing w:before="0" w:after="0"/>
              <w:ind w:left="0" w:right="0" w:hanging="0"/>
              <w:jc w:val="center"/>
              <w:rPr>
                <w:sz w:val="18"/>
                <w:szCs w:val="18"/>
              </w:rPr>
            </w:pPr>
            <w:r>
              <w:rPr>
                <w:rFonts w:eastAsia="Times New Roman" w:cs="Times New Roman"/>
                <w:color w:val="000000"/>
                <w:sz w:val="18"/>
                <w:szCs w:val="18"/>
                <w:highlight w:val="white"/>
                <w:lang w:val="ru-RU" w:eastAsia="ru-RU" w:bidi="ar-SA"/>
              </w:rPr>
              <w:t>Требования к началу срока поставки продукции</w:t>
            </w:r>
          </w:p>
        </w:tc>
        <w:tc>
          <w:tcPr>
            <w:tcW w:w="26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center"/>
              <w:rPr>
                <w:sz w:val="18"/>
                <w:szCs w:val="18"/>
              </w:rPr>
            </w:pPr>
            <w:r>
              <w:rPr>
                <w:rFonts w:eastAsia="Times New Roman" w:cs="Times New Roman"/>
                <w:color w:val="000000"/>
                <w:sz w:val="18"/>
                <w:szCs w:val="18"/>
                <w:highlight w:val="white"/>
                <w:lang w:val="ru-RU" w:eastAsia="ru-RU" w:bidi="ar-SA"/>
              </w:rPr>
              <w:t>Требования к окончанию срока поставки продукции</w:t>
            </w:r>
          </w:p>
        </w:tc>
      </w:tr>
      <w:tr>
        <w:trPr>
          <w:trHeight w:val="301" w:hRule="atLeast"/>
        </w:trPr>
        <w:tc>
          <w:tcPr>
            <w:tcW w:w="490" w:type="dxa"/>
            <w:tcBorders>
              <w:left w:val="single" w:sz="6" w:space="0" w:color="000000"/>
              <w:bottom w:val="single" w:sz="6" w:space="0" w:color="000000"/>
            </w:tcBorders>
            <w:vAlign w:val="center"/>
          </w:tcPr>
          <w:p>
            <w:pPr>
              <w:pStyle w:val="Normal"/>
              <w:widowControl w:val="false"/>
              <w:spacing w:before="0" w:after="0"/>
              <w:ind w:left="0" w:right="0" w:hanging="0"/>
              <w:jc w:val="center"/>
              <w:rPr>
                <w:sz w:val="18"/>
                <w:szCs w:val="18"/>
              </w:rPr>
            </w:pPr>
            <w:r>
              <w:rPr>
                <w:rFonts w:eastAsia="Times New Roman" w:cs="Times New Roman"/>
                <w:b w:val="false"/>
                <w:bCs w:val="false"/>
                <w:color w:val="000000"/>
                <w:sz w:val="18"/>
                <w:szCs w:val="18"/>
                <w:highlight w:val="white"/>
                <w:lang w:val="ru-RU" w:eastAsia="ru-RU" w:bidi="ar-SA"/>
              </w:rPr>
              <w:t>1</w:t>
            </w:r>
          </w:p>
        </w:tc>
        <w:tc>
          <w:tcPr>
            <w:tcW w:w="2091" w:type="dxa"/>
            <w:tcBorders>
              <w:left w:val="single" w:sz="6" w:space="0" w:color="000000"/>
              <w:bottom w:val="single" w:sz="6" w:space="0" w:color="000000"/>
            </w:tcBorders>
            <w:vAlign w:val="center"/>
          </w:tcPr>
          <w:p>
            <w:pPr>
              <w:pStyle w:val="Normal"/>
              <w:widowControl w:val="false"/>
              <w:spacing w:before="0" w:after="0"/>
              <w:ind w:left="0" w:right="0" w:hanging="0"/>
              <w:jc w:val="center"/>
              <w:rPr>
                <w:sz w:val="18"/>
                <w:szCs w:val="18"/>
              </w:rPr>
            </w:pPr>
            <w:r>
              <w:rPr>
                <w:rFonts w:eastAsia="Times New Roman" w:cs="Times New Roman"/>
                <w:b w:val="false"/>
                <w:bCs w:val="false"/>
                <w:color w:val="000000"/>
                <w:sz w:val="18"/>
                <w:szCs w:val="18"/>
                <w:highlight w:val="white"/>
                <w:lang w:val="ru-RU" w:eastAsia="ru-RU" w:bidi="ar-SA"/>
              </w:rPr>
              <w:t>2</w:t>
            </w:r>
          </w:p>
        </w:tc>
        <w:tc>
          <w:tcPr>
            <w:tcW w:w="3698" w:type="dxa"/>
            <w:tcBorders>
              <w:left w:val="single" w:sz="6" w:space="0" w:color="000000"/>
              <w:bottom w:val="single" w:sz="6" w:space="0" w:color="000000"/>
            </w:tcBorders>
            <w:vAlign w:val="center"/>
          </w:tcPr>
          <w:p>
            <w:pPr>
              <w:pStyle w:val="Normal"/>
              <w:widowControl w:val="false"/>
              <w:spacing w:before="40" w:after="0"/>
              <w:ind w:left="57" w:right="57" w:hanging="0"/>
              <w:jc w:val="center"/>
              <w:rPr>
                <w:sz w:val="18"/>
                <w:szCs w:val="18"/>
              </w:rPr>
            </w:pPr>
            <w:r>
              <w:rPr>
                <w:rFonts w:eastAsia="Times New Roman" w:cs="Times New Roman"/>
                <w:b w:val="false"/>
                <w:bCs w:val="false"/>
                <w:color w:val="000000"/>
                <w:sz w:val="18"/>
                <w:szCs w:val="18"/>
                <w:highlight w:val="white"/>
                <w:lang w:val="ru-RU" w:eastAsia="ru-RU" w:bidi="ar-SA"/>
              </w:rPr>
              <w:t>3</w:t>
            </w:r>
          </w:p>
        </w:tc>
        <w:tc>
          <w:tcPr>
            <w:tcW w:w="2613" w:type="dxa"/>
            <w:tcBorders>
              <w:left w:val="single" w:sz="6" w:space="0" w:color="000000"/>
              <w:bottom w:val="single" w:sz="6" w:space="0" w:color="000000"/>
              <w:right w:val="single" w:sz="6" w:space="0" w:color="000000"/>
            </w:tcBorders>
            <w:vAlign w:val="center"/>
          </w:tcPr>
          <w:p>
            <w:pPr>
              <w:pStyle w:val="Normal"/>
              <w:widowControl w:val="false"/>
              <w:spacing w:before="40" w:after="0"/>
              <w:ind w:left="57" w:right="57" w:hanging="0"/>
              <w:jc w:val="center"/>
              <w:rPr>
                <w:sz w:val="18"/>
                <w:szCs w:val="18"/>
              </w:rPr>
            </w:pPr>
            <w:r>
              <w:rPr>
                <w:rFonts w:eastAsia="Times New Roman" w:cs="Times New Roman"/>
                <w:b w:val="false"/>
                <w:bCs w:val="false"/>
                <w:color w:val="000000"/>
                <w:sz w:val="18"/>
                <w:szCs w:val="18"/>
                <w:highlight w:val="white"/>
                <w:lang w:val="ru-RU" w:eastAsia="ru-RU" w:bidi="ar-SA"/>
              </w:rPr>
              <w:t>4</w:t>
            </w:r>
          </w:p>
        </w:tc>
      </w:tr>
      <w:tr>
        <w:trPr>
          <w:trHeight w:val="677" w:hRule="atLeast"/>
        </w:trPr>
        <w:tc>
          <w:tcPr>
            <w:tcW w:w="490" w:type="dxa"/>
            <w:tcBorders>
              <w:left w:val="single" w:sz="6" w:space="0" w:color="000000"/>
              <w:bottom w:val="single" w:sz="6" w:space="0" w:color="000000"/>
            </w:tcBorders>
            <w:vAlign w:val="center"/>
          </w:tcPr>
          <w:p>
            <w:pPr>
              <w:pStyle w:val="Normal"/>
              <w:keepNext w:val="true"/>
              <w:widowControl w:val="false"/>
              <w:spacing w:lineRule="atLeast" w:line="57" w:before="0" w:after="0"/>
              <w:jc w:val="left"/>
              <w:rPr>
                <w:sz w:val="18"/>
                <w:szCs w:val="18"/>
              </w:rPr>
            </w:pPr>
            <w:r>
              <w:rPr>
                <w:sz w:val="18"/>
                <w:szCs w:val="18"/>
                <w:highlight w:val="white"/>
                <w:lang w:val="ru-RU" w:eastAsia="ru-RU" w:bidi="ar-SA"/>
              </w:rPr>
              <w:t>1</w:t>
            </w:r>
          </w:p>
        </w:tc>
        <w:tc>
          <w:tcPr>
            <w:tcW w:w="2091" w:type="dxa"/>
            <w:tcBorders>
              <w:left w:val="single" w:sz="6" w:space="0" w:color="000000"/>
              <w:bottom w:val="single" w:sz="6" w:space="0" w:color="000000"/>
            </w:tcBorders>
            <w:vAlign w:val="center"/>
          </w:tcPr>
          <w:p>
            <w:pPr>
              <w:pStyle w:val="Normal"/>
              <w:widowControl w:val="false"/>
              <w:spacing w:before="0" w:after="0"/>
              <w:ind w:left="0" w:right="0" w:hanging="0"/>
              <w:jc w:val="left"/>
              <w:rPr>
                <w:sz w:val="18"/>
                <w:szCs w:val="18"/>
              </w:rPr>
            </w:pPr>
            <w:r>
              <w:rPr>
                <w:rFonts w:eastAsia="Times New Roman" w:cs="Times New Roman"/>
                <w:sz w:val="18"/>
                <w:szCs w:val="18"/>
                <w:highlight w:val="white"/>
                <w:lang w:val="ru-RU" w:eastAsia="ru-RU" w:bidi="ar-SA"/>
              </w:rPr>
              <w:t>Котельное оборудование</w:t>
            </w:r>
          </w:p>
        </w:tc>
        <w:tc>
          <w:tcPr>
            <w:tcW w:w="3698" w:type="dxa"/>
            <w:tcBorders>
              <w:left w:val="single" w:sz="6" w:space="0" w:color="000000"/>
              <w:bottom w:val="single" w:sz="6" w:space="0" w:color="000000"/>
            </w:tcBorders>
            <w:vAlign w:val="center"/>
          </w:tcPr>
          <w:p>
            <w:pPr>
              <w:pStyle w:val="Normal"/>
              <w:widowControl w:val="false"/>
              <w:rPr>
                <w:sz w:val="18"/>
                <w:szCs w:val="18"/>
              </w:rPr>
            </w:pPr>
            <w:r>
              <w:rPr>
                <w:sz w:val="18"/>
                <w:szCs w:val="18"/>
              </w:rPr>
              <w:t>С даты заключения договора</w:t>
            </w:r>
          </w:p>
        </w:tc>
        <w:tc>
          <w:tcPr>
            <w:tcW w:w="2613" w:type="dxa"/>
            <w:tcBorders>
              <w:left w:val="single" w:sz="6" w:space="0" w:color="000000"/>
              <w:bottom w:val="single" w:sz="6" w:space="0" w:color="000000"/>
              <w:right w:val="single" w:sz="6" w:space="0" w:color="000000"/>
            </w:tcBorders>
            <w:vAlign w:val="center"/>
          </w:tcPr>
          <w:p>
            <w:pPr>
              <w:pStyle w:val="Normal"/>
              <w:widowControl w:val="false"/>
              <w:rPr>
                <w:sz w:val="18"/>
                <w:szCs w:val="18"/>
              </w:rPr>
            </w:pPr>
            <w:r>
              <w:rPr>
                <w:sz w:val="18"/>
                <w:szCs w:val="18"/>
              </w:rPr>
              <w:t xml:space="preserve">Согласно календарного графика </w:t>
            </w:r>
            <w:r>
              <w:rPr>
                <w:b w:val="false"/>
                <w:bCs w:val="false"/>
                <w:sz w:val="18"/>
                <w:szCs w:val="18"/>
              </w:rPr>
              <w:t>(</w:t>
            </w:r>
            <w:r>
              <w:rPr>
                <w:rFonts w:eastAsia="Calibri"/>
                <w:b w:val="false"/>
                <w:bCs w:val="false"/>
                <w:i w:val="false"/>
                <w:iCs w:val="false"/>
                <w:sz w:val="18"/>
                <w:szCs w:val="18"/>
                <w:shd w:fill="auto" w:val="clear"/>
              </w:rPr>
              <w:t>Приложение №2).</w:t>
            </w:r>
          </w:p>
        </w:tc>
      </w:tr>
    </w:tbl>
    <w:p>
      <w:pPr>
        <w:pStyle w:val="NormalIndent"/>
        <w:ind w:hanging="0"/>
        <w:rPr>
          <w:b w:val="false"/>
          <w:bCs w:val="false"/>
          <w:highlight w:val="white"/>
        </w:rPr>
      </w:pPr>
      <w:r>
        <w:rPr>
          <w:b w:val="false"/>
          <w:bCs w:val="false"/>
          <w:highlight w:val="white"/>
        </w:rPr>
      </w:r>
    </w:p>
    <w:p>
      <w:pPr>
        <w:pStyle w:val="NormalIndent"/>
        <w:rPr>
          <w:sz w:val="24"/>
          <w:szCs w:val="24"/>
        </w:rPr>
      </w:pPr>
      <w:r>
        <w:rPr>
          <w:b/>
          <w:bCs/>
          <w:sz w:val="24"/>
          <w:szCs w:val="24"/>
        </w:rPr>
        <w:t xml:space="preserve">Примечание: </w:t>
      </w:r>
      <w:r>
        <w:rPr>
          <w:b w:val="false"/>
          <w:bCs w:val="false"/>
          <w:color w:val="111111"/>
          <w:sz w:val="24"/>
          <w:szCs w:val="24"/>
        </w:rPr>
        <w:t>Место</w:t>
      </w:r>
      <w:r>
        <w:rPr>
          <w:b w:val="false"/>
          <w:bCs w:val="false"/>
          <w:i/>
          <w:iCs/>
          <w:color w:val="111111"/>
          <w:sz w:val="24"/>
          <w:szCs w:val="24"/>
        </w:rPr>
        <w:t xml:space="preserve"> </w:t>
      </w:r>
      <w:r>
        <w:rPr>
          <w:b w:val="false"/>
          <w:bCs w:val="false"/>
          <w:i/>
          <w:iCs/>
          <w:sz w:val="24"/>
          <w:szCs w:val="24"/>
        </w:rPr>
        <w:t>постав</w:t>
      </w:r>
      <w:r>
        <w:rPr>
          <w:b w:val="false"/>
          <w:bCs w:val="false"/>
          <w:i/>
          <w:iCs/>
          <w:sz w:val="24"/>
          <w:szCs w:val="24"/>
          <w:highlight w:val="white"/>
        </w:rPr>
        <w:t xml:space="preserve">ки </w:t>
      </w:r>
      <w:r>
        <w:rPr>
          <w:i/>
          <w:iCs/>
          <w:sz w:val="24"/>
          <w:szCs w:val="24"/>
          <w:highlight w:val="white"/>
          <w:shd w:fill="FFFF00" w:val="clear"/>
        </w:rPr>
        <w:t>уточняется Поставщиком за две недели до отгрузки</w:t>
      </w:r>
    </w:p>
    <w:p>
      <w:pPr>
        <w:pStyle w:val="NormalIndent"/>
        <w:rPr>
          <w:b w:val="false"/>
          <w:bCs w:val="false"/>
          <w:highlight w:val="white"/>
        </w:rPr>
      </w:pPr>
      <w:r>
        <w:rPr>
          <w:b w:val="false"/>
          <w:bCs w:val="false"/>
          <w:highlight w:val="white"/>
        </w:rPr>
      </w:r>
    </w:p>
    <w:p>
      <w:pPr>
        <w:pStyle w:val="NormalIndent"/>
        <w:rPr>
          <w:b w:val="false"/>
          <w:bCs w:val="false"/>
          <w:highlight w:val="white"/>
        </w:rPr>
      </w:pPr>
      <w:r>
        <w:rPr>
          <w:b w:val="false"/>
          <w:bCs w:val="false"/>
          <w:highlight w:val="white"/>
        </w:rPr>
      </w:r>
    </w:p>
    <w:p>
      <w:pPr>
        <w:pStyle w:val="NormalIndent"/>
        <w:rPr>
          <w:b w:val="false"/>
          <w:bCs w:val="false"/>
          <w:highlight w:val="white"/>
        </w:rPr>
      </w:pPr>
      <w:r>
        <w:rPr>
          <w:b w:val="false"/>
          <w:bCs w:val="false"/>
          <w:highlight w:val="white"/>
        </w:rPr>
      </w:r>
    </w:p>
    <w:p>
      <w:pPr>
        <w:pStyle w:val="NormalIndent"/>
        <w:rPr>
          <w:b w:val="false"/>
          <w:bCs w:val="false"/>
        </w:rPr>
      </w:pPr>
      <w:r>
        <w:rPr>
          <w:b w:val="false"/>
          <w:bCs w:val="false"/>
        </w:rPr>
      </w:r>
    </w:p>
    <w:p>
      <w:pPr>
        <w:pStyle w:val="NormalIndent"/>
        <w:rPr>
          <w:b w:val="false"/>
          <w:bCs w:val="false"/>
        </w:rPr>
      </w:pPr>
      <w:r>
        <w:rPr>
          <w:b w:val="false"/>
          <w:bCs w:val="false"/>
        </w:rPr>
      </w:r>
    </w:p>
    <w:p>
      <w:pPr>
        <w:pStyle w:val="NormalIndent"/>
        <w:rPr>
          <w:b w:val="false"/>
          <w:bCs w:val="false"/>
        </w:rPr>
      </w:pPr>
      <w:r>
        <w:rPr>
          <w:b w:val="false"/>
          <w:bCs w:val="false"/>
        </w:rPr>
      </w:r>
    </w:p>
    <w:p>
      <w:pPr>
        <w:pStyle w:val="NormalIndent"/>
        <w:rPr>
          <w:b w:val="false"/>
          <w:bCs w:val="false"/>
        </w:rPr>
      </w:pPr>
      <w:r>
        <w:rPr>
          <w:b w:val="false"/>
          <w:bCs w:val="false"/>
        </w:rPr>
      </w:r>
    </w:p>
    <w:p>
      <w:pPr>
        <w:pStyle w:val="NormalIndent"/>
        <w:rPr>
          <w:b w:val="false"/>
          <w:bCs w:val="false"/>
        </w:rPr>
      </w:pPr>
      <w:r>
        <w:rPr>
          <w:b w:val="false"/>
          <w:bCs w:val="false"/>
        </w:rPr>
      </w:r>
    </w:p>
    <w:p>
      <w:pPr>
        <w:pStyle w:val="NormalIndent"/>
        <w:rPr>
          <w:b w:val="false"/>
          <w:bCs w:val="false"/>
        </w:rPr>
      </w:pPr>
      <w:r>
        <w:rPr>
          <w:b w:val="false"/>
          <w:bCs w:val="false"/>
        </w:rPr>
      </w:r>
    </w:p>
    <w:p>
      <w:pPr>
        <w:pStyle w:val="Normal"/>
        <w:rPr>
          <w:b/>
          <w:caps/>
          <w:sz w:val="28"/>
          <w:szCs w:val="28"/>
        </w:rPr>
      </w:pPr>
      <w:r>
        <w:rPr>
          <w:b/>
          <w:caps/>
          <w:sz w:val="28"/>
          <w:szCs w:val="28"/>
        </w:rPr>
      </w:r>
      <w:r>
        <w:br w:type="page"/>
      </w:r>
    </w:p>
    <w:p>
      <w:pPr>
        <w:pStyle w:val="Heading1"/>
        <w:keepLines w:val="false"/>
        <w:numPr>
          <w:ilvl w:val="0"/>
          <w:numId w:val="0"/>
        </w:numPr>
        <w:spacing w:before="360" w:after="360"/>
        <w:ind w:left="448" w:hanging="0"/>
        <w:jc w:val="left"/>
        <w:rPr>
          <w:sz w:val="24"/>
          <w:szCs w:val="24"/>
        </w:rPr>
      </w:pPr>
      <w:r>
        <w:rPr>
          <w:sz w:val="24"/>
          <w:szCs w:val="24"/>
        </w:rPr>
        <w:t xml:space="preserve">8. </w:t>
      </w:r>
      <w:bookmarkStart w:id="8" w:name="_Toc13"/>
      <w:r>
        <w:rPr>
          <w:sz w:val="24"/>
          <w:szCs w:val="24"/>
        </w:rPr>
        <w:t>Гарантии изготовителя</w:t>
      </w:r>
      <w:bookmarkEnd w:id="8"/>
    </w:p>
    <w:p>
      <w:pPr>
        <w:pStyle w:val="Text12"/>
        <w:shd w:val="clear" w:color="auto" w:fill="FFFFFF" w:themeFill="background1"/>
        <w:spacing w:lineRule="auto" w:line="240" w:before="0" w:after="120"/>
        <w:ind w:firstLine="567"/>
        <w:jc w:val="both"/>
        <w:rPr>
          <w:sz w:val="24"/>
          <w:szCs w:val="24"/>
        </w:rPr>
      </w:pPr>
      <w:r>
        <w:rPr>
          <w:rFonts w:ascii="Times New Roman" w:hAnsi="Times New Roman"/>
          <w:sz w:val="24"/>
          <w:szCs w:val="24"/>
        </w:rPr>
        <w:t xml:space="preserve">Поставщик гарантирует соответствие оборудования и материалов настоящим техническим требованиям. </w:t>
      </w:r>
    </w:p>
    <w:p>
      <w:pPr>
        <w:pStyle w:val="Text12"/>
        <w:shd w:val="clear" w:color="auto" w:fill="FFFFFF" w:themeFill="background1"/>
        <w:spacing w:lineRule="auto" w:line="240" w:before="0" w:after="120"/>
        <w:ind w:firstLine="567"/>
        <w:jc w:val="both"/>
        <w:rPr>
          <w:sz w:val="24"/>
          <w:szCs w:val="24"/>
        </w:rPr>
      </w:pPr>
      <w:r>
        <w:rPr>
          <w:rFonts w:ascii="Times New Roman" w:hAnsi="Times New Roman"/>
          <w:sz w:val="24"/>
          <w:szCs w:val="24"/>
        </w:rPr>
        <w:t xml:space="preserve">Срок гарантийной эксплуатации оборудования, поставляемого в комплекте (кроме горелок) должен составлять   </w:t>
      </w:r>
      <w:r>
        <w:rPr>
          <w:rFonts w:ascii="Times New Roman" w:hAnsi="Times New Roman"/>
          <w:sz w:val="24"/>
          <w:szCs w:val="24"/>
          <w:lang w:val="ru-RU" w:eastAsia="ru-RU" w:bidi="ar-SA"/>
        </w:rPr>
        <w:t>60 (шестьдесят) месяцев со дня ввода  в эксплуатацию.</w:t>
      </w:r>
      <w:r>
        <w:rPr>
          <w:rFonts w:ascii="Times New Roman" w:hAnsi="Times New Roman"/>
          <w:sz w:val="24"/>
          <w:szCs w:val="24"/>
        </w:rPr>
        <w:t xml:space="preserve"> </w:t>
      </w:r>
    </w:p>
    <w:p>
      <w:pPr>
        <w:pStyle w:val="Text12"/>
        <w:shd w:val="clear" w:color="auto" w:fill="FFFFFF" w:themeFill="background1"/>
        <w:spacing w:lineRule="auto" w:line="240" w:before="0" w:after="120"/>
        <w:ind w:firstLine="567"/>
        <w:jc w:val="both"/>
        <w:rPr>
          <w:sz w:val="24"/>
          <w:szCs w:val="24"/>
        </w:rPr>
      </w:pPr>
      <w:r>
        <w:rPr>
          <w:rFonts w:ascii="Times New Roman" w:hAnsi="Times New Roman"/>
          <w:sz w:val="24"/>
          <w:szCs w:val="24"/>
        </w:rPr>
        <w:t>В случае обнаружения во время гарантийного срока, а также во время монтажа, в процессе пусконаладочных работ и испытаний дефектов в поставляемом Поставщиком оборудовании, они устраняются за счет Поставщика. Гарантийный период продлевается на срок устранения дефекта.</w:t>
      </w:r>
    </w:p>
    <w:p>
      <w:pPr>
        <w:pStyle w:val="Text12"/>
        <w:shd w:val="clear" w:color="auto" w:fill="FFFFFF" w:themeFill="background1"/>
        <w:spacing w:lineRule="auto" w:line="240" w:before="0" w:after="120"/>
        <w:ind w:firstLine="567"/>
        <w:jc w:val="both"/>
        <w:rPr>
          <w:sz w:val="24"/>
          <w:szCs w:val="24"/>
        </w:rPr>
      </w:pPr>
      <w:r>
        <w:rPr>
          <w:rFonts w:ascii="Times New Roman" w:hAnsi="Times New Roman"/>
          <w:sz w:val="24"/>
          <w:szCs w:val="24"/>
        </w:rPr>
        <w:t>Поставщик по истечению гарантийного срока эксплуатации гарантирует в период расчетного срока службы оборудования, замену элементов и деталей в технически обоснованные сроки на изготовление по договору с Заказчиком.</w:t>
      </w:r>
    </w:p>
    <w:p>
      <w:pPr>
        <w:pStyle w:val="Text12"/>
        <w:shd w:val="clear" w:color="auto" w:fill="FFFFFF" w:themeFill="background1"/>
        <w:spacing w:lineRule="auto" w:line="240" w:before="0" w:after="120"/>
        <w:ind w:firstLine="567"/>
        <w:jc w:val="both"/>
        <w:rPr>
          <w:sz w:val="24"/>
          <w:szCs w:val="24"/>
        </w:rPr>
      </w:pPr>
      <w:r>
        <w:rPr>
          <w:rFonts w:ascii="Times New Roman" w:hAnsi="Times New Roman"/>
          <w:sz w:val="24"/>
          <w:szCs w:val="24"/>
        </w:rPr>
        <w:t>Поставщик гарантирует, что качество материалов, применяемых для изготовления, соответствует требованиям стандартов, техническим требованиям и технической документации на оборудование.</w:t>
      </w:r>
    </w:p>
    <w:p>
      <w:pPr>
        <w:pStyle w:val="Normal"/>
        <w:spacing w:lineRule="auto" w:line="360"/>
        <w:jc w:val="both"/>
        <w:rPr>
          <w:sz w:val="24"/>
          <w:szCs w:val="24"/>
        </w:rPr>
      </w:pPr>
      <w:r>
        <w:rPr>
          <w:sz w:val="24"/>
          <w:szCs w:val="24"/>
        </w:rPr>
      </w:r>
    </w:p>
    <w:p>
      <w:pPr>
        <w:pStyle w:val="Heading1"/>
        <w:keepLines w:val="false"/>
        <w:numPr>
          <w:ilvl w:val="0"/>
          <w:numId w:val="0"/>
        </w:numPr>
        <w:spacing w:before="360" w:after="360"/>
        <w:ind w:left="448" w:hanging="0"/>
        <w:jc w:val="left"/>
        <w:rPr>
          <w:sz w:val="24"/>
          <w:szCs w:val="24"/>
        </w:rPr>
      </w:pPr>
      <w:r>
        <w:rPr>
          <w:rFonts w:eastAsia="Times New Roman" w:cs="Times New Roman"/>
          <w:sz w:val="24"/>
          <w:szCs w:val="24"/>
          <w:highlight w:val="white"/>
        </w:rPr>
        <w:t xml:space="preserve">9. </w:t>
      </w:r>
      <w:bookmarkStart w:id="9" w:name="_Toc14"/>
      <w:r>
        <w:rPr>
          <w:rFonts w:eastAsia="Times New Roman" w:cs="Times New Roman"/>
          <w:sz w:val="24"/>
          <w:szCs w:val="24"/>
          <w:highlight w:val="white"/>
        </w:rPr>
        <w:t>Ц</w:t>
      </w:r>
      <w:r>
        <w:rPr>
          <w:rFonts w:eastAsia="Times New Roman" w:cs="Times New Roman"/>
          <w:color w:val="000000"/>
          <w:sz w:val="24"/>
          <w:szCs w:val="24"/>
          <w:highlight w:val="white"/>
        </w:rPr>
        <w:t>енообразующие факторы</w:t>
      </w:r>
      <w:bookmarkEnd w:id="9"/>
    </w:p>
    <w:p>
      <w:pPr>
        <w:pStyle w:val="Normal"/>
        <w:spacing w:lineRule="atLeast" w:line="65" w:before="0" w:after="198"/>
        <w:ind w:left="0" w:right="0" w:firstLine="709"/>
        <w:contextualSpacing/>
        <w:jc w:val="both"/>
        <w:rPr>
          <w:sz w:val="24"/>
          <w:szCs w:val="24"/>
        </w:rPr>
      </w:pPr>
      <w:r>
        <w:rPr>
          <w:rFonts w:eastAsia="Times New Roman" w:cs="Times New Roman"/>
          <w:color w:val="000000"/>
          <w:sz w:val="24"/>
          <w:szCs w:val="24"/>
        </w:rPr>
        <w:t>При определении стоимости котельного оборудования, цену указывать с учетом услуг по упаковке, доставке до адреса, указанного в разделе 6.</w:t>
      </w:r>
    </w:p>
    <w:p>
      <w:pPr>
        <w:pStyle w:val="Normal"/>
        <w:spacing w:lineRule="atLeast" w:line="253" w:before="0" w:after="0"/>
        <w:ind w:left="0" w:right="0" w:firstLine="709"/>
        <w:contextualSpacing/>
        <w:jc w:val="both"/>
        <w:rPr>
          <w:rFonts w:ascii="Times New Roman" w:hAnsi="Times New Roman" w:eastAsia="Times New Roman" w:cs="Times New Roman"/>
          <w:color w:val="000000"/>
          <w:sz w:val="24"/>
          <w:szCs w:val="24"/>
          <w:highlight w:val="none"/>
        </w:rPr>
      </w:pPr>
      <w:r>
        <w:rPr>
          <w:rFonts w:eastAsia="Times New Roman" w:cs="Times New Roman"/>
          <w:color w:val="000000"/>
          <w:sz w:val="24"/>
          <w:szCs w:val="24"/>
        </w:rPr>
        <w:t xml:space="preserve"> </w:t>
      </w:r>
    </w:p>
    <w:p>
      <w:pPr>
        <w:pStyle w:val="Normal"/>
        <w:spacing w:lineRule="atLeast" w:line="253" w:before="0" w:after="0"/>
        <w:ind w:left="0" w:right="0" w:firstLine="709"/>
        <w:contextualSpacing/>
        <w:jc w:val="both"/>
        <w:rPr>
          <w:rFonts w:ascii="Times New Roman" w:hAnsi="Times New Roman" w:cs="Times New Roman"/>
          <w:sz w:val="22"/>
          <w:szCs w:val="22"/>
        </w:rPr>
      </w:pPr>
      <w:r>
        <w:rPr>
          <w:rFonts w:cs="Times New Roman"/>
          <w:sz w:val="22"/>
          <w:szCs w:val="22"/>
        </w:rPr>
      </w:r>
    </w:p>
    <w:p>
      <w:pPr>
        <w:pStyle w:val="Heading1"/>
        <w:keepLines w:val="false"/>
        <w:numPr>
          <w:ilvl w:val="0"/>
          <w:numId w:val="0"/>
        </w:numPr>
        <w:spacing w:before="360" w:after="360"/>
        <w:ind w:left="0" w:hanging="0"/>
        <w:jc w:val="left"/>
        <w:rPr>
          <w:sz w:val="24"/>
          <w:szCs w:val="24"/>
        </w:rPr>
      </w:pPr>
      <w:r>
        <w:rPr>
          <w:sz w:val="24"/>
          <w:szCs w:val="24"/>
          <w:highlight w:val="white"/>
          <w:shd w:fill="FFFF00" w:val="clear"/>
        </w:rPr>
        <w:t xml:space="preserve">  </w:t>
      </w:r>
      <w:r>
        <w:rPr>
          <w:sz w:val="24"/>
          <w:szCs w:val="24"/>
          <w:highlight w:val="white"/>
          <w:shd w:fill="FFFF00" w:val="clear"/>
        </w:rPr>
        <w:t xml:space="preserve">10. </w:t>
      </w:r>
      <w:bookmarkStart w:id="10" w:name="_Toc15"/>
      <w:r>
        <w:rPr>
          <w:sz w:val="24"/>
          <w:szCs w:val="24"/>
          <w:highlight w:val="white"/>
          <w:shd w:fill="FFFF00" w:val="clear"/>
        </w:rPr>
        <w:t>Перечень предоставляемой поставщиком документации</w:t>
      </w:r>
      <w:bookmarkEnd w:id="10"/>
    </w:p>
    <w:tbl>
      <w:tblPr>
        <w:tblW w:w="9922" w:type="dxa"/>
        <w:jc w:val="left"/>
        <w:tblInd w:w="230" w:type="dxa"/>
        <w:tblLayout w:type="fixed"/>
        <w:tblCellMar>
          <w:top w:w="55" w:type="dxa"/>
          <w:left w:w="108" w:type="dxa"/>
          <w:bottom w:w="55" w:type="dxa"/>
          <w:right w:w="108" w:type="dxa"/>
        </w:tblCellMar>
        <w:tblLook w:val="0000" w:noHBand="0" w:noVBand="0" w:firstColumn="0" w:lastRow="0" w:lastColumn="0" w:firstRow="0"/>
      </w:tblPr>
      <w:tblGrid>
        <w:gridCol w:w="731"/>
        <w:gridCol w:w="4811"/>
        <w:gridCol w:w="1717"/>
        <w:gridCol w:w="1338"/>
        <w:gridCol w:w="1325"/>
      </w:tblGrid>
      <w:tr>
        <w:trPr>
          <w:tblHeader w:val="true"/>
          <w:cantSplit w:val="true"/>
        </w:trPr>
        <w:tc>
          <w:tcPr>
            <w:tcW w:w="731" w:type="dxa"/>
            <w:tcBorders>
              <w:top w:val="single" w:sz="4" w:space="0" w:color="000000"/>
              <w:left w:val="single" w:sz="4" w:space="0" w:color="000000"/>
              <w:bottom w:val="single" w:sz="4" w:space="0" w:color="000000"/>
            </w:tcBorders>
            <w:vAlign w:val="center"/>
          </w:tcPr>
          <w:p>
            <w:pPr>
              <w:pStyle w:val="Normal"/>
              <w:widowControl w:val="false"/>
              <w:shd w:val="nil" w:color="auto"/>
              <w:jc w:val="center"/>
              <w:rPr>
                <w:sz w:val="20"/>
                <w:szCs w:val="20"/>
              </w:rPr>
            </w:pPr>
            <w:r>
              <w:rPr>
                <w:b/>
                <w:bCs/>
                <w:color w:val="auto"/>
                <w:sz w:val="20"/>
                <w:szCs w:val="20"/>
                <w:highlight w:val="white"/>
                <w:lang w:val="ru-RU"/>
              </w:rPr>
              <w:t xml:space="preserve">№ </w:t>
            </w:r>
            <w:r>
              <w:rPr>
                <w:b/>
                <w:bCs/>
                <w:color w:val="auto"/>
                <w:sz w:val="20"/>
                <w:szCs w:val="20"/>
                <w:highlight w:val="white"/>
                <w:lang w:val="ru-RU"/>
              </w:rPr>
              <w:t>п/п</w:t>
            </w:r>
          </w:p>
        </w:tc>
        <w:tc>
          <w:tcPr>
            <w:tcW w:w="4811" w:type="dxa"/>
            <w:tcBorders>
              <w:top w:val="single" w:sz="4" w:space="0" w:color="000000"/>
              <w:left w:val="single" w:sz="4" w:space="0" w:color="000000"/>
              <w:bottom w:val="single" w:sz="4" w:space="0" w:color="000000"/>
            </w:tcBorders>
            <w:vAlign w:val="center"/>
          </w:tcPr>
          <w:p>
            <w:pPr>
              <w:pStyle w:val="Normal"/>
              <w:widowControl w:val="false"/>
              <w:shd w:val="nil" w:color="auto"/>
              <w:jc w:val="center"/>
              <w:rPr>
                <w:sz w:val="20"/>
                <w:szCs w:val="20"/>
              </w:rPr>
            </w:pPr>
            <w:r>
              <w:rPr>
                <w:b/>
                <w:bCs/>
                <w:color w:val="auto"/>
                <w:sz w:val="20"/>
                <w:szCs w:val="20"/>
                <w:highlight w:val="white"/>
                <w:lang w:val="ru-RU"/>
              </w:rPr>
              <w:t>Наименование документа</w:t>
            </w:r>
          </w:p>
        </w:tc>
        <w:tc>
          <w:tcPr>
            <w:tcW w:w="1717" w:type="dxa"/>
            <w:tcBorders>
              <w:top w:val="single" w:sz="4" w:space="0" w:color="000000"/>
              <w:left w:val="single" w:sz="4" w:space="0" w:color="000000"/>
              <w:bottom w:val="single" w:sz="4" w:space="0" w:color="000000"/>
            </w:tcBorders>
            <w:vAlign w:val="center"/>
          </w:tcPr>
          <w:p>
            <w:pPr>
              <w:pStyle w:val="Normal"/>
              <w:widowControl w:val="false"/>
              <w:shd w:val="nil" w:color="auto"/>
              <w:jc w:val="center"/>
              <w:rPr>
                <w:sz w:val="20"/>
                <w:szCs w:val="20"/>
              </w:rPr>
            </w:pPr>
            <w:r>
              <w:rPr>
                <w:b/>
                <w:bCs/>
                <w:color w:val="auto"/>
                <w:sz w:val="20"/>
                <w:szCs w:val="20"/>
                <w:highlight w:val="white"/>
                <w:lang w:val="ru-RU"/>
              </w:rPr>
              <w:t>Срок передачи с даты заключения договора</w:t>
            </w:r>
          </w:p>
        </w:tc>
        <w:tc>
          <w:tcPr>
            <w:tcW w:w="1338" w:type="dxa"/>
            <w:tcBorders>
              <w:top w:val="single" w:sz="4" w:space="0" w:color="000000"/>
              <w:left w:val="single" w:sz="4" w:space="0" w:color="000000"/>
              <w:bottom w:val="single" w:sz="4" w:space="0" w:color="000000"/>
            </w:tcBorders>
            <w:vAlign w:val="center"/>
          </w:tcPr>
          <w:p>
            <w:pPr>
              <w:pStyle w:val="Normal"/>
              <w:widowControl w:val="false"/>
              <w:shd w:val="nil" w:color="auto"/>
              <w:jc w:val="center"/>
              <w:rPr>
                <w:sz w:val="20"/>
                <w:szCs w:val="20"/>
              </w:rPr>
            </w:pPr>
            <w:r>
              <w:rPr>
                <w:b/>
                <w:bCs/>
                <w:color w:val="auto"/>
                <w:sz w:val="20"/>
                <w:szCs w:val="20"/>
                <w:lang w:val="ru-RU" w:eastAsia="ru-RU" w:bidi="ar-SA"/>
              </w:rPr>
              <w:t>Способ подтверждения</w:t>
            </w:r>
          </w:p>
        </w:tc>
        <w:tc>
          <w:tcPr>
            <w:tcW w:w="13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nil" w:color="auto"/>
              <w:jc w:val="center"/>
              <w:rPr>
                <w:sz w:val="20"/>
                <w:szCs w:val="20"/>
              </w:rPr>
            </w:pPr>
            <w:r>
              <w:rPr>
                <w:b/>
                <w:bCs/>
                <w:color w:val="000000"/>
                <w:sz w:val="20"/>
                <w:szCs w:val="20"/>
                <w:shd w:fill="auto" w:val="clear"/>
                <w14:ligatures w14:val="none"/>
              </w:rPr>
              <w:t>Предложение Участника</w:t>
            </w:r>
          </w:p>
        </w:tc>
      </w:tr>
      <w:tr>
        <w:trPr>
          <w:cantSplit w:val="true"/>
        </w:trPr>
        <w:tc>
          <w:tcPr>
            <w:tcW w:w="731" w:type="dxa"/>
            <w:tcBorders>
              <w:left w:val="single" w:sz="4" w:space="0" w:color="000000"/>
              <w:bottom w:val="single" w:sz="4" w:space="0" w:color="000000"/>
            </w:tcBorders>
            <w:vAlign w:val="center"/>
          </w:tcPr>
          <w:p>
            <w:pPr>
              <w:pStyle w:val="Normal"/>
              <w:widowControl w:val="false"/>
              <w:shd w:val="nil" w:color="auto"/>
              <w:jc w:val="center"/>
              <w:rPr>
                <w:sz w:val="20"/>
                <w:szCs w:val="20"/>
              </w:rPr>
            </w:pPr>
            <w:r>
              <w:rPr>
                <w:color w:val="auto"/>
                <w:sz w:val="20"/>
                <w:szCs w:val="20"/>
                <w:lang w:val="ru-RU"/>
              </w:rPr>
              <w:t>1</w:t>
            </w:r>
          </w:p>
        </w:tc>
        <w:tc>
          <w:tcPr>
            <w:tcW w:w="4811" w:type="dxa"/>
            <w:tcBorders>
              <w:left w:val="single" w:sz="4" w:space="0" w:color="000000"/>
              <w:bottom w:val="single" w:sz="4" w:space="0" w:color="000000"/>
            </w:tcBorders>
            <w:vAlign w:val="center"/>
          </w:tcPr>
          <w:p>
            <w:pPr>
              <w:pStyle w:val="Normal"/>
              <w:widowControl w:val="false"/>
              <w:shd w:val="nil" w:color="auto"/>
              <w:rPr>
                <w:sz w:val="20"/>
                <w:szCs w:val="20"/>
              </w:rPr>
            </w:pPr>
            <w:r>
              <w:rPr>
                <w:color w:val="auto"/>
                <w:sz w:val="20"/>
                <w:szCs w:val="20"/>
                <w:highlight w:val="white"/>
                <w:lang w:val="ru-RU"/>
              </w:rPr>
              <w:t>Инструкция</w:t>
            </w:r>
            <w:r>
              <w:rPr>
                <w:color w:val="auto"/>
                <w:sz w:val="20"/>
                <w:szCs w:val="20"/>
                <w:highlight w:val="white"/>
              </w:rPr>
              <w:t xml:space="preserve"> </w:t>
            </w:r>
            <w:r>
              <w:rPr>
                <w:color w:val="auto"/>
                <w:sz w:val="20"/>
                <w:szCs w:val="20"/>
                <w:highlight w:val="white"/>
                <w:lang w:val="ru-RU"/>
              </w:rPr>
              <w:t>по</w:t>
            </w:r>
            <w:r>
              <w:rPr>
                <w:color w:val="auto"/>
                <w:sz w:val="20"/>
                <w:szCs w:val="20"/>
                <w:highlight w:val="white"/>
              </w:rPr>
              <w:t xml:space="preserve"> </w:t>
            </w:r>
            <w:r>
              <w:rPr>
                <w:color w:val="auto"/>
                <w:sz w:val="20"/>
                <w:szCs w:val="20"/>
                <w:highlight w:val="white"/>
                <w:lang w:val="ru-RU"/>
              </w:rPr>
              <w:t>монтажу</w:t>
            </w:r>
          </w:p>
        </w:tc>
        <w:tc>
          <w:tcPr>
            <w:tcW w:w="1717" w:type="dxa"/>
            <w:vMerge w:val="restart"/>
            <w:tcBorders>
              <w:left w:val="single" w:sz="4" w:space="0" w:color="000000"/>
              <w:bottom w:val="single" w:sz="4" w:space="0" w:color="000000"/>
            </w:tcBorders>
            <w:vAlign w:val="center"/>
          </w:tcPr>
          <w:p>
            <w:pPr>
              <w:pStyle w:val="Normal"/>
              <w:widowControl w:val="false"/>
              <w:shd w:val="nil" w:color="auto"/>
              <w:jc w:val="center"/>
              <w:rPr>
                <w:sz w:val="20"/>
                <w:szCs w:val="20"/>
              </w:rPr>
            </w:pPr>
            <w:r>
              <w:rPr>
                <w:color w:val="auto"/>
                <w:sz w:val="20"/>
                <w:szCs w:val="20"/>
                <w:highlight w:val="white"/>
                <w:lang w:val="ru-RU"/>
              </w:rPr>
              <w:t>Одновременно с поставкой оборудования</w:t>
            </w:r>
          </w:p>
        </w:tc>
        <w:tc>
          <w:tcPr>
            <w:tcW w:w="1338" w:type="dxa"/>
            <w:vMerge w:val="restart"/>
            <w:tcBorders>
              <w:left w:val="single" w:sz="4" w:space="0" w:color="000000"/>
              <w:bottom w:val="single" w:sz="4" w:space="0" w:color="000000"/>
            </w:tcBorders>
            <w:vAlign w:val="center"/>
          </w:tcPr>
          <w:p>
            <w:pPr>
              <w:pStyle w:val="Normal"/>
              <w:widowControl w:val="false"/>
              <w:shd w:val="nil" w:color="auto"/>
              <w:jc w:val="center"/>
              <w:rPr>
                <w:sz w:val="20"/>
                <w:szCs w:val="20"/>
              </w:rPr>
            </w:pPr>
            <w:r>
              <w:rPr>
                <w:color w:val="auto"/>
                <w:sz w:val="20"/>
                <w:szCs w:val="20"/>
                <w:highlight w:val="white"/>
                <w:lang w:val="ru-RU"/>
              </w:rPr>
              <w:t>Согласие с требованием</w:t>
            </w:r>
          </w:p>
        </w:tc>
        <w:tc>
          <w:tcPr>
            <w:tcW w:w="1325" w:type="dxa"/>
            <w:vMerge w:val="restart"/>
            <w:tcBorders>
              <w:left w:val="single" w:sz="4" w:space="0" w:color="000000"/>
              <w:bottom w:val="single" w:sz="4" w:space="0" w:color="000000"/>
              <w:right w:val="single" w:sz="4" w:space="0" w:color="000000"/>
            </w:tcBorders>
            <w:vAlign w:val="center"/>
          </w:tcPr>
          <w:p>
            <w:pPr>
              <w:pStyle w:val="Normal"/>
              <w:widowControl w:val="false"/>
              <w:shd w:val="nil" w:color="auto"/>
              <w:rPr>
                <w:color w:val="auto"/>
                <w:sz w:val="20"/>
                <w:szCs w:val="20"/>
                <w:highlight w:val="white"/>
                <w14:ligatures w14:val="none"/>
              </w:rPr>
            </w:pPr>
            <w:r>
              <w:rPr>
                <w:color w:val="auto"/>
                <w:sz w:val="20"/>
                <w:szCs w:val="20"/>
                <w:highlight w:val="white"/>
                <w14:ligatures w14:val="none"/>
              </w:rPr>
            </w:r>
          </w:p>
        </w:tc>
      </w:tr>
      <w:tr>
        <w:trPr>
          <w:cantSplit w:val="true"/>
        </w:trPr>
        <w:tc>
          <w:tcPr>
            <w:tcW w:w="731" w:type="dxa"/>
            <w:tcBorders>
              <w:left w:val="single" w:sz="4" w:space="0" w:color="000000"/>
              <w:bottom w:val="single" w:sz="4" w:space="0" w:color="000000"/>
            </w:tcBorders>
            <w:vAlign w:val="center"/>
          </w:tcPr>
          <w:p>
            <w:pPr>
              <w:pStyle w:val="Normal"/>
              <w:widowControl w:val="false"/>
              <w:shd w:val="nil" w:color="auto"/>
              <w:jc w:val="center"/>
              <w:rPr>
                <w:color w:val="auto"/>
                <w:highlight w:val="white"/>
                <w14:ligatures w14:val="none"/>
              </w:rPr>
            </w:pPr>
            <w:r>
              <w:rPr>
                <w:color w:val="auto"/>
                <w:lang w:val="ru-RU"/>
              </w:rPr>
              <w:t>2</w:t>
            </w:r>
          </w:p>
        </w:tc>
        <w:tc>
          <w:tcPr>
            <w:tcW w:w="4811" w:type="dxa"/>
            <w:tcBorders>
              <w:left w:val="single" w:sz="4" w:space="0" w:color="000000"/>
              <w:bottom w:val="single" w:sz="4" w:space="0" w:color="000000"/>
            </w:tcBorders>
            <w:vAlign w:val="center"/>
          </w:tcPr>
          <w:p>
            <w:pPr>
              <w:pStyle w:val="Normal"/>
              <w:widowControl w:val="false"/>
              <w:shd w:val="nil" w:color="auto"/>
              <w:rPr>
                <w:color w:val="auto"/>
                <w:highlight w:val="white"/>
                <w14:ligatures w14:val="none"/>
              </w:rPr>
            </w:pPr>
            <w:r>
              <w:rPr>
                <w:color w:val="auto"/>
                <w:highlight w:val="white"/>
                <w:lang w:val="ru-RU"/>
              </w:rPr>
              <w:t>Инструкция по эксплуатации и ремонту</w:t>
            </w:r>
          </w:p>
        </w:tc>
        <w:tc>
          <w:tcPr>
            <w:tcW w:w="1717" w:type="dxa"/>
            <w:vMerge w:val="continue"/>
            <w:tcBorders>
              <w:left w:val="single" w:sz="4" w:space="0" w:color="000000"/>
              <w:bottom w:val="single" w:sz="4" w:space="0" w:color="000000"/>
            </w:tcBorders>
            <w:vAlign w:val="center"/>
          </w:tcPr>
          <w:p>
            <w:pPr>
              <w:pStyle w:val="Normal"/>
              <w:widowControl w:val="false"/>
              <w:jc w:val="center"/>
              <w:rPr>
                <w:highlight w:val="none"/>
                <w:shd w:fill="FFFF00" w:val="clear"/>
              </w:rPr>
            </w:pPr>
            <w:r>
              <w:rPr>
                <w:shd w:fill="FFFF00" w:val="clear"/>
              </w:rPr>
            </w:r>
          </w:p>
        </w:tc>
        <w:tc>
          <w:tcPr>
            <w:tcW w:w="1338" w:type="dxa"/>
            <w:vMerge w:val="continue"/>
            <w:tcBorders>
              <w:left w:val="single" w:sz="4" w:space="0" w:color="000000"/>
              <w:bottom w:val="single" w:sz="4" w:space="0" w:color="000000"/>
            </w:tcBorders>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c>
          <w:tcPr>
            <w:tcW w:w="1325" w:type="dxa"/>
            <w:vMerge w:val="continue"/>
            <w:tcBorders>
              <w:left w:val="single" w:sz="4" w:space="0" w:color="000000"/>
              <w:bottom w:val="single" w:sz="4" w:space="0" w:color="000000"/>
              <w:right w:val="single" w:sz="4" w:space="0" w:color="000000"/>
            </w:tcBorders>
            <w:vAlign w:val="center"/>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r>
      <w:tr>
        <w:trPr>
          <w:cantSplit w:val="true"/>
        </w:trPr>
        <w:tc>
          <w:tcPr>
            <w:tcW w:w="731" w:type="dxa"/>
            <w:tcBorders>
              <w:left w:val="single" w:sz="4" w:space="0" w:color="000000"/>
              <w:bottom w:val="single" w:sz="4" w:space="0" w:color="000000"/>
            </w:tcBorders>
            <w:vAlign w:val="center"/>
          </w:tcPr>
          <w:p>
            <w:pPr>
              <w:pStyle w:val="Normal"/>
              <w:widowControl w:val="false"/>
              <w:shd w:val="nil" w:color="auto"/>
              <w:jc w:val="center"/>
              <w:rPr>
                <w:color w:val="auto"/>
                <w:highlight w:val="white"/>
                <w14:ligatures w14:val="none"/>
              </w:rPr>
            </w:pPr>
            <w:r>
              <w:rPr>
                <w:color w:val="auto"/>
                <w:lang w:val="ru-RU"/>
              </w:rPr>
              <w:t>3</w:t>
            </w:r>
          </w:p>
        </w:tc>
        <w:tc>
          <w:tcPr>
            <w:tcW w:w="4811" w:type="dxa"/>
            <w:tcBorders>
              <w:left w:val="single" w:sz="4" w:space="0" w:color="000000"/>
              <w:bottom w:val="single" w:sz="4" w:space="0" w:color="000000"/>
            </w:tcBorders>
            <w:vAlign w:val="center"/>
          </w:tcPr>
          <w:p>
            <w:pPr>
              <w:pStyle w:val="Normal"/>
              <w:widowControl w:val="false"/>
              <w:shd w:val="nil" w:color="auto"/>
              <w:rPr>
                <w:color w:val="auto"/>
                <w:highlight w:val="white"/>
                <w14:ligatures w14:val="none"/>
              </w:rPr>
            </w:pPr>
            <w:r>
              <w:rPr>
                <w:color w:val="auto"/>
                <w:highlight w:val="white"/>
                <w:lang w:val="ru-RU"/>
              </w:rPr>
              <w:t>Инструкция по транспортировке, хранению и консервации</w:t>
            </w:r>
          </w:p>
        </w:tc>
        <w:tc>
          <w:tcPr>
            <w:tcW w:w="1717" w:type="dxa"/>
            <w:vMerge w:val="continue"/>
            <w:tcBorders>
              <w:left w:val="single" w:sz="4" w:space="0" w:color="000000"/>
              <w:bottom w:val="single" w:sz="4" w:space="0" w:color="000000"/>
            </w:tcBorders>
            <w:vAlign w:val="center"/>
          </w:tcPr>
          <w:p>
            <w:pPr>
              <w:pStyle w:val="Normal"/>
              <w:widowControl w:val="false"/>
              <w:jc w:val="center"/>
              <w:rPr>
                <w:highlight w:val="none"/>
                <w:shd w:fill="FFFF00" w:val="clear"/>
              </w:rPr>
            </w:pPr>
            <w:r>
              <w:rPr>
                <w:shd w:fill="FFFF00" w:val="clear"/>
              </w:rPr>
            </w:r>
          </w:p>
        </w:tc>
        <w:tc>
          <w:tcPr>
            <w:tcW w:w="1338" w:type="dxa"/>
            <w:vMerge w:val="continue"/>
            <w:tcBorders>
              <w:left w:val="single" w:sz="4" w:space="0" w:color="000000"/>
              <w:bottom w:val="single" w:sz="4" w:space="0" w:color="000000"/>
            </w:tcBorders>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c>
          <w:tcPr>
            <w:tcW w:w="1325" w:type="dxa"/>
            <w:vMerge w:val="continue"/>
            <w:tcBorders>
              <w:left w:val="single" w:sz="4" w:space="0" w:color="000000"/>
              <w:bottom w:val="single" w:sz="4" w:space="0" w:color="000000"/>
              <w:right w:val="single" w:sz="4" w:space="0" w:color="000000"/>
            </w:tcBorders>
            <w:vAlign w:val="center"/>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r>
      <w:tr>
        <w:trPr>
          <w:trHeight w:val="396" w:hRule="atLeast"/>
          <w:cantSplit w:val="true"/>
        </w:trPr>
        <w:tc>
          <w:tcPr>
            <w:tcW w:w="731" w:type="dxa"/>
            <w:tcBorders>
              <w:left w:val="single" w:sz="4" w:space="0" w:color="000000"/>
              <w:bottom w:val="single" w:sz="4" w:space="0" w:color="000000"/>
            </w:tcBorders>
            <w:vAlign w:val="center"/>
          </w:tcPr>
          <w:p>
            <w:pPr>
              <w:pStyle w:val="Normal"/>
              <w:widowControl w:val="false"/>
              <w:shd w:val="nil" w:color="auto"/>
              <w:jc w:val="center"/>
              <w:rPr>
                <w:color w:val="auto"/>
                <w:highlight w:val="white"/>
                <w14:ligatures w14:val="none"/>
              </w:rPr>
            </w:pPr>
            <w:r>
              <w:rPr>
                <w:color w:val="auto"/>
                <w:lang w:val="ru-RU"/>
              </w:rPr>
              <w:t>4</w:t>
            </w:r>
          </w:p>
        </w:tc>
        <w:tc>
          <w:tcPr>
            <w:tcW w:w="4811" w:type="dxa"/>
            <w:tcBorders>
              <w:left w:val="single" w:sz="4" w:space="0" w:color="000000"/>
              <w:bottom w:val="single" w:sz="4" w:space="0" w:color="000000"/>
            </w:tcBorders>
            <w:vAlign w:val="center"/>
          </w:tcPr>
          <w:p>
            <w:pPr>
              <w:pStyle w:val="Normal"/>
              <w:widowControl w:val="false"/>
              <w:shd w:val="nil" w:color="auto"/>
              <w:rPr>
                <w:color w:val="auto"/>
                <w:highlight w:val="white"/>
                <w14:ligatures w14:val="none"/>
              </w:rPr>
            </w:pPr>
            <w:r>
              <w:rPr>
                <w:color w:val="auto"/>
                <w:highlight w:val="white"/>
                <w:lang w:val="ru-RU"/>
              </w:rPr>
              <w:t>Паспорта на оборудование</w:t>
            </w:r>
          </w:p>
        </w:tc>
        <w:tc>
          <w:tcPr>
            <w:tcW w:w="1717" w:type="dxa"/>
            <w:vMerge w:val="continue"/>
            <w:tcBorders>
              <w:left w:val="single" w:sz="4" w:space="0" w:color="000000"/>
              <w:bottom w:val="single" w:sz="4" w:space="0" w:color="000000"/>
            </w:tcBorders>
            <w:vAlign w:val="center"/>
          </w:tcPr>
          <w:p>
            <w:pPr>
              <w:pStyle w:val="Normal"/>
              <w:widowControl w:val="false"/>
              <w:jc w:val="center"/>
              <w:rPr>
                <w:highlight w:val="none"/>
                <w:shd w:fill="FFFF00" w:val="clear"/>
              </w:rPr>
            </w:pPr>
            <w:r>
              <w:rPr>
                <w:shd w:fill="FFFF00" w:val="clear"/>
              </w:rPr>
            </w:r>
          </w:p>
        </w:tc>
        <w:tc>
          <w:tcPr>
            <w:tcW w:w="1338" w:type="dxa"/>
            <w:vMerge w:val="continue"/>
            <w:tcBorders>
              <w:left w:val="single" w:sz="4" w:space="0" w:color="000000"/>
              <w:bottom w:val="single" w:sz="4" w:space="0" w:color="000000"/>
            </w:tcBorders>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c>
          <w:tcPr>
            <w:tcW w:w="1325" w:type="dxa"/>
            <w:vMerge w:val="continue"/>
            <w:tcBorders>
              <w:left w:val="single" w:sz="4" w:space="0" w:color="000000"/>
              <w:bottom w:val="single" w:sz="4" w:space="0" w:color="000000"/>
              <w:right w:val="single" w:sz="4" w:space="0" w:color="000000"/>
            </w:tcBorders>
            <w:vAlign w:val="center"/>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r>
      <w:tr>
        <w:trPr>
          <w:cantSplit w:val="true"/>
        </w:trPr>
        <w:tc>
          <w:tcPr>
            <w:tcW w:w="731" w:type="dxa"/>
            <w:tcBorders>
              <w:left w:val="single" w:sz="4" w:space="0" w:color="000000"/>
              <w:bottom w:val="single" w:sz="4" w:space="0" w:color="000000"/>
            </w:tcBorders>
            <w:vAlign w:val="center"/>
          </w:tcPr>
          <w:p>
            <w:pPr>
              <w:pStyle w:val="Normal"/>
              <w:widowControl w:val="false"/>
              <w:shd w:val="nil" w:color="auto"/>
              <w:jc w:val="center"/>
              <w:rPr>
                <w:color w:val="auto"/>
                <w:highlight w:val="white"/>
                <w14:ligatures w14:val="none"/>
              </w:rPr>
            </w:pPr>
            <w:r>
              <w:rPr>
                <w:color w:val="auto"/>
                <w:lang w:val="ru-RU"/>
              </w:rPr>
              <w:t>5</w:t>
            </w:r>
          </w:p>
        </w:tc>
        <w:tc>
          <w:tcPr>
            <w:tcW w:w="4811" w:type="dxa"/>
            <w:tcBorders>
              <w:left w:val="single" w:sz="4" w:space="0" w:color="000000"/>
              <w:bottom w:val="single" w:sz="4" w:space="0" w:color="000000"/>
            </w:tcBorders>
            <w:vAlign w:val="center"/>
          </w:tcPr>
          <w:p>
            <w:pPr>
              <w:pStyle w:val="Normal"/>
              <w:widowControl w:val="false"/>
              <w:shd w:val="nil" w:color="auto"/>
              <w:rPr>
                <w:color w:val="auto"/>
                <w:highlight w:val="white"/>
                <w14:ligatures w14:val="none"/>
              </w:rPr>
            </w:pPr>
            <w:r>
              <w:rPr>
                <w:color w:val="auto"/>
                <w:highlight w:val="white"/>
                <w:lang w:val="ru-RU"/>
              </w:rPr>
              <w:t>Заводские сертификаты и разрешения на использование оборудования и материалов на территории РФ</w:t>
            </w:r>
          </w:p>
        </w:tc>
        <w:tc>
          <w:tcPr>
            <w:tcW w:w="1717" w:type="dxa"/>
            <w:vMerge w:val="continue"/>
            <w:tcBorders>
              <w:left w:val="single" w:sz="4" w:space="0" w:color="000000"/>
              <w:bottom w:val="single" w:sz="4" w:space="0" w:color="000000"/>
            </w:tcBorders>
            <w:vAlign w:val="center"/>
          </w:tcPr>
          <w:p>
            <w:pPr>
              <w:pStyle w:val="Normal"/>
              <w:widowControl w:val="false"/>
              <w:jc w:val="center"/>
              <w:rPr>
                <w:highlight w:val="none"/>
                <w:shd w:fill="FFFF00" w:val="clear"/>
              </w:rPr>
            </w:pPr>
            <w:r>
              <w:rPr>
                <w:shd w:fill="FFFF00" w:val="clear"/>
              </w:rPr>
            </w:r>
          </w:p>
        </w:tc>
        <w:tc>
          <w:tcPr>
            <w:tcW w:w="1338" w:type="dxa"/>
            <w:vMerge w:val="continue"/>
            <w:tcBorders>
              <w:left w:val="single" w:sz="4" w:space="0" w:color="000000"/>
              <w:bottom w:val="single" w:sz="4" w:space="0" w:color="000000"/>
            </w:tcBorders>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c>
          <w:tcPr>
            <w:tcW w:w="1325" w:type="dxa"/>
            <w:vMerge w:val="continue"/>
            <w:tcBorders>
              <w:left w:val="single" w:sz="4" w:space="0" w:color="000000"/>
              <w:bottom w:val="single" w:sz="4" w:space="0" w:color="000000"/>
              <w:right w:val="single" w:sz="4" w:space="0" w:color="000000"/>
            </w:tcBorders>
            <w:vAlign w:val="center"/>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r>
      <w:tr>
        <w:trPr>
          <w:cantSplit w:val="true"/>
        </w:trPr>
        <w:tc>
          <w:tcPr>
            <w:tcW w:w="731" w:type="dxa"/>
            <w:tcBorders>
              <w:left w:val="single" w:sz="4" w:space="0" w:color="000000"/>
              <w:bottom w:val="single" w:sz="4" w:space="0" w:color="000000"/>
            </w:tcBorders>
            <w:vAlign w:val="center"/>
          </w:tcPr>
          <w:p>
            <w:pPr>
              <w:pStyle w:val="Normal"/>
              <w:widowControl w:val="false"/>
              <w:shd w:val="nil" w:color="auto"/>
              <w:jc w:val="center"/>
              <w:rPr>
                <w:color w:val="auto"/>
                <w:highlight w:val="white"/>
                <w14:ligatures w14:val="none"/>
              </w:rPr>
            </w:pPr>
            <w:r>
              <w:rPr>
                <w:color w:val="auto"/>
                <w:lang w:val="ru-RU"/>
              </w:rPr>
              <w:t>6</w:t>
            </w:r>
          </w:p>
        </w:tc>
        <w:tc>
          <w:tcPr>
            <w:tcW w:w="4811" w:type="dxa"/>
            <w:tcBorders>
              <w:left w:val="single" w:sz="4" w:space="0" w:color="000000"/>
              <w:bottom w:val="single" w:sz="4" w:space="0" w:color="000000"/>
            </w:tcBorders>
            <w:vAlign w:val="center"/>
          </w:tcPr>
          <w:p>
            <w:pPr>
              <w:pStyle w:val="Normal"/>
              <w:widowControl w:val="false"/>
              <w:shd w:val="nil" w:color="auto"/>
              <w:rPr>
                <w:color w:val="auto"/>
                <w:highlight w:val="white"/>
                <w14:ligatures w14:val="none"/>
              </w:rPr>
            </w:pPr>
            <w:r>
              <w:rPr>
                <w:color w:val="auto"/>
                <w:highlight w:val="white"/>
                <w:lang w:val="ru-RU"/>
              </w:rPr>
              <w:t>Комплект подробных инструкций по монтажу, наладке, испытаниям и текущей эксплуатации, содержащих наряду с описанием чертежи, схемы и фотографии, иллюстрирующие все этапы установки и сборки оборудования и их специфику</w:t>
            </w:r>
          </w:p>
        </w:tc>
        <w:tc>
          <w:tcPr>
            <w:tcW w:w="1717" w:type="dxa"/>
            <w:vMerge w:val="continue"/>
            <w:tcBorders>
              <w:left w:val="single" w:sz="4" w:space="0" w:color="000000"/>
              <w:bottom w:val="single" w:sz="4" w:space="0" w:color="000000"/>
            </w:tcBorders>
            <w:vAlign w:val="center"/>
          </w:tcPr>
          <w:p>
            <w:pPr>
              <w:pStyle w:val="Normal"/>
              <w:widowControl w:val="false"/>
              <w:jc w:val="center"/>
              <w:rPr>
                <w:highlight w:val="none"/>
                <w:shd w:fill="FFFF00" w:val="clear"/>
              </w:rPr>
            </w:pPr>
            <w:r>
              <w:rPr>
                <w:shd w:fill="FFFF00" w:val="clear"/>
              </w:rPr>
            </w:r>
          </w:p>
        </w:tc>
        <w:tc>
          <w:tcPr>
            <w:tcW w:w="1338" w:type="dxa"/>
            <w:vMerge w:val="continue"/>
            <w:tcBorders>
              <w:left w:val="single" w:sz="4" w:space="0" w:color="000000"/>
              <w:bottom w:val="single" w:sz="4" w:space="0" w:color="000000"/>
            </w:tcBorders>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c>
          <w:tcPr>
            <w:tcW w:w="1325" w:type="dxa"/>
            <w:vMerge w:val="continue"/>
            <w:tcBorders>
              <w:left w:val="single" w:sz="4" w:space="0" w:color="000000"/>
              <w:bottom w:val="single" w:sz="4" w:space="0" w:color="000000"/>
              <w:right w:val="single" w:sz="4" w:space="0" w:color="000000"/>
            </w:tcBorders>
            <w:vAlign w:val="center"/>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r>
      <w:tr>
        <w:trPr>
          <w:cantSplit w:val="true"/>
        </w:trPr>
        <w:tc>
          <w:tcPr>
            <w:tcW w:w="731" w:type="dxa"/>
            <w:tcBorders>
              <w:left w:val="single" w:sz="4" w:space="0" w:color="000000"/>
              <w:bottom w:val="single" w:sz="4" w:space="0" w:color="000000"/>
            </w:tcBorders>
            <w:vAlign w:val="center"/>
          </w:tcPr>
          <w:p>
            <w:pPr>
              <w:pStyle w:val="Normal"/>
              <w:widowControl w:val="false"/>
              <w:shd w:val="nil" w:color="auto"/>
              <w:jc w:val="center"/>
              <w:rPr>
                <w:color w:val="auto"/>
                <w:highlight w:val="white"/>
                <w14:ligatures w14:val="none"/>
              </w:rPr>
            </w:pPr>
            <w:r>
              <w:rPr>
                <w:color w:val="auto"/>
                <w:lang w:val="ru-RU"/>
              </w:rPr>
              <w:t>7</w:t>
            </w:r>
          </w:p>
        </w:tc>
        <w:tc>
          <w:tcPr>
            <w:tcW w:w="4811" w:type="dxa"/>
            <w:tcBorders>
              <w:left w:val="single" w:sz="4" w:space="0" w:color="000000"/>
              <w:bottom w:val="single" w:sz="4" w:space="0" w:color="000000"/>
            </w:tcBorders>
            <w:vAlign w:val="center"/>
          </w:tcPr>
          <w:p>
            <w:pPr>
              <w:pStyle w:val="Normal"/>
              <w:widowControl w:val="false"/>
              <w:shd w:val="nil" w:color="auto"/>
              <w:rPr>
                <w:color w:val="auto"/>
                <w:highlight w:val="white"/>
                <w14:ligatures w14:val="none"/>
              </w:rPr>
            </w:pPr>
            <w:r>
              <w:rPr>
                <w:color w:val="auto"/>
                <w:highlight w:val="white"/>
                <w:lang w:val="ru-RU"/>
              </w:rPr>
              <w:t>Перечень запасных частей на гарантийный период эксплуатации и специального инструмента, поставляемых в комплекте с водогрейными котлами</w:t>
            </w:r>
          </w:p>
        </w:tc>
        <w:tc>
          <w:tcPr>
            <w:tcW w:w="1717" w:type="dxa"/>
            <w:vMerge w:val="continue"/>
            <w:tcBorders>
              <w:left w:val="single" w:sz="4" w:space="0" w:color="000000"/>
              <w:bottom w:val="single" w:sz="4" w:space="0" w:color="000000"/>
            </w:tcBorders>
            <w:vAlign w:val="center"/>
          </w:tcPr>
          <w:p>
            <w:pPr>
              <w:pStyle w:val="Normal"/>
              <w:widowControl w:val="false"/>
              <w:jc w:val="center"/>
              <w:rPr>
                <w:highlight w:val="none"/>
                <w:shd w:fill="FFFF00" w:val="clear"/>
              </w:rPr>
            </w:pPr>
            <w:r>
              <w:rPr>
                <w:shd w:fill="FFFF00" w:val="clear"/>
              </w:rPr>
            </w:r>
          </w:p>
        </w:tc>
        <w:tc>
          <w:tcPr>
            <w:tcW w:w="1338" w:type="dxa"/>
            <w:vMerge w:val="continue"/>
            <w:tcBorders>
              <w:left w:val="single" w:sz="4" w:space="0" w:color="000000"/>
              <w:bottom w:val="single" w:sz="4" w:space="0" w:color="000000"/>
            </w:tcBorders>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c>
          <w:tcPr>
            <w:tcW w:w="1325" w:type="dxa"/>
            <w:vMerge w:val="continue"/>
            <w:tcBorders>
              <w:left w:val="single" w:sz="4" w:space="0" w:color="000000"/>
              <w:bottom w:val="single" w:sz="4" w:space="0" w:color="000000"/>
              <w:right w:val="single" w:sz="4" w:space="0" w:color="000000"/>
            </w:tcBorders>
            <w:vAlign w:val="center"/>
          </w:tcPr>
          <w:p>
            <w:pPr>
              <w:pStyle w:val="Text12-1"/>
              <w:widowControl w:val="false"/>
              <w:rPr>
                <w:rFonts w:ascii="Times New Roman" w:hAnsi="Times New Roman" w:cs="Times New Roman"/>
                <w:sz w:val="20"/>
                <w:szCs w:val="20"/>
                <w:highlight w:val="none"/>
                <w:shd w:fill="FFFF00" w:val="clear"/>
                <w:lang w:val="ru-RU"/>
              </w:rPr>
            </w:pPr>
            <w:r>
              <w:rPr>
                <w:rFonts w:cs="Times New Roman" w:ascii="Times New Roman" w:hAnsi="Times New Roman"/>
                <w:sz w:val="20"/>
                <w:szCs w:val="20"/>
                <w:shd w:fill="FFFF00" w:val="clear"/>
                <w:lang w:val="ru-RU"/>
              </w:rPr>
            </w:r>
          </w:p>
        </w:tc>
      </w:tr>
    </w:tbl>
    <w:p>
      <w:pPr>
        <w:pStyle w:val="Normal"/>
        <w:jc w:val="center"/>
        <w:rPr>
          <w:highlight w:val="white"/>
          <w:shd w:fill="FFFF00" w:val="clear"/>
        </w:rPr>
      </w:pPr>
      <w:r>
        <w:rPr>
          <w:highlight w:val="white"/>
          <w:shd w:fill="FFFF00" w:val="clear"/>
        </w:rPr>
      </w:r>
    </w:p>
    <w:p>
      <w:pPr>
        <w:pStyle w:val="Normal"/>
        <w:jc w:val="center"/>
        <w:rPr>
          <w:strike w:val="false"/>
          <w:dstrike w:val="false"/>
          <w:color w:val="FF0000"/>
          <w:highlight w:val="white"/>
        </w:rPr>
      </w:pPr>
      <w:r>
        <w:rPr>
          <w:strike w:val="false"/>
          <w:dstrike w:val="false"/>
          <w:color w:val="FF0000"/>
          <w:highlight w:val="white"/>
        </w:rPr>
      </w:r>
    </w:p>
    <w:p>
      <w:pPr>
        <w:pStyle w:val="Normal"/>
        <w:jc w:val="center"/>
        <w:rPr>
          <w:strike w:val="false"/>
          <w:dstrike w:val="false"/>
          <w:color w:val="FF0000"/>
        </w:rPr>
      </w:pPr>
      <w:r>
        <w:rPr>
          <w:strike w:val="false"/>
          <w:dstrike w:val="false"/>
          <w:color w:val="FF0000"/>
        </w:rPr>
      </w:r>
    </w:p>
    <w:p>
      <w:pPr>
        <w:pStyle w:val="Normal"/>
        <w:jc w:val="center"/>
        <w:rPr>
          <w:strike w:val="false"/>
          <w:dstrike w:val="false"/>
          <w:color w:val="FF0000"/>
        </w:rPr>
      </w:pPr>
      <w:r>
        <w:rPr/>
      </w:r>
    </w:p>
    <w:sectPr>
      <w:headerReference w:type="default" r:id="rId4"/>
      <w:headerReference w:type="first" r:id="rId5"/>
      <w:footerReference w:type="default" r:id="rId6"/>
      <w:footerReference w:type="first" r:id="rId7"/>
      <w:type w:val="nextPage"/>
      <w:pgSz w:w="11906" w:h="16838"/>
      <w:pgMar w:left="1418" w:right="567" w:gutter="0" w:header="340" w:top="1134" w:footer="340" w:bottom="1134"/>
      <w:pgBorders w:display="allPages" w:offsetFrom="text">
        <w:top w:val="single" w:sz="12" w:space="0" w:color="000000"/>
        <w:left w:val="single" w:sz="12" w:space="14" w:color="000000"/>
        <w:bottom w:val="single" w:sz="12" w:space="0" w:color="000000"/>
        <w:right w:val="single" w:sz="12" w:space="13" w:color="000000"/>
      </w:pgBorders>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Arial CYR">
    <w:charset w:val="01"/>
    <w:family w:val="roman"/>
    <w:pitch w:val="variable"/>
  </w:font>
  <w:font w:name="Liberation Sans">
    <w:altName w:val="Arial"/>
    <w:charset w:val="01"/>
    <w:family w:val="roman"/>
    <w:pitch w:val="variable"/>
  </w:font>
  <w:font w:name="Verdana">
    <w:charset w:val="01"/>
    <w:family w:val="roman"/>
    <w:pitch w:val="variable"/>
  </w:font>
  <w:font w:name="Cambria">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p>
    <w:pPr>
      <w:pStyle w:val="Footer"/>
      <w:rPr>
        <w:sz w:val="2"/>
        <w:szCs w:val="2"/>
      </w:rPr>
    </w:pPr>
    <w:r>
      <w:rPr>
        <w:sz w:val="2"/>
        <w:szCs w:val="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Style w:val="Pagenumber"/>
        <w:sz w:val="18"/>
      </w:rPr>
    </w:pPr>
    <w:r>
      <w:rPr>
        <w:sz w:val="18"/>
      </w:rPr>
    </w:r>
  </w:p>
  <w:p>
    <w:pPr>
      <w:pStyle w:val="Header"/>
      <w:jc w:val="right"/>
      <w:rPr>
        <w:rStyle w:val="Pagenumber"/>
        <w:sz w:val="18"/>
      </w:rPr>
    </w:pPr>
    <w:r>
      <w:rPr>
        <w:sz w:val="18"/>
      </w:rPr>
    </w:r>
  </w:p>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907"/>
        </w:tabs>
        <w:ind w:left="0" w:firstLine="709"/>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decimal"/>
      <w:lvlText w:val="%1"/>
      <w:lvlJc w:val="left"/>
      <w:pPr>
        <w:tabs>
          <w:tab w:val="num" w:pos="450"/>
        </w:tabs>
        <w:ind w:left="450" w:hanging="450"/>
      </w:pPr>
      <w:rPr/>
    </w:lvl>
    <w:lvl w:ilvl="1">
      <w:start w:val="1"/>
      <w:numFmt w:val="decimal"/>
      <w:lvlText w:val="%1.%2"/>
      <w:lvlJc w:val="left"/>
      <w:pPr>
        <w:tabs>
          <w:tab w:val="num" w:pos="450"/>
        </w:tabs>
        <w:ind w:left="450" w:hanging="45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1080"/>
        </w:tabs>
        <w:ind w:left="1080" w:hanging="108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440"/>
        </w:tabs>
        <w:ind w:left="1440" w:hanging="144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800"/>
        </w:tabs>
        <w:ind w:left="1800" w:hanging="1800"/>
      </w:pPr>
      <w:rPr/>
    </w:lvl>
    <w:lvl w:ilvl="8">
      <w:start w:val="1"/>
      <w:numFmt w:val="decimal"/>
      <w:lvlText w:val="%1.%2.%3.%4.%5.%6.%7.%8.%9"/>
      <w:lvlJc w:val="left"/>
      <w:pPr>
        <w:tabs>
          <w:tab w:val="num" w:pos="1800"/>
        </w:tabs>
        <w:ind w:left="1800" w:hanging="1800"/>
      </w:pPr>
      <w:rPr/>
    </w:lvl>
  </w:abstractNum>
  <w:abstractNum w:abstractNumId="3">
    <w:lvl w:ilvl="0">
      <w:start w:val="1"/>
      <w:numFmt w:val="bullet"/>
      <w:lvlText w:val=""/>
      <w:lvlJc w:val="left"/>
      <w:pPr>
        <w:tabs>
          <w:tab w:val="num" w:pos="964"/>
        </w:tabs>
        <w:ind w:left="964" w:hanging="397"/>
      </w:pPr>
      <w:rPr>
        <w:rFonts w:ascii="Symbol" w:hAnsi="Symbol" w:cs="Symbol" w:hint="default"/>
        <w:sz w:val="16"/>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4">
    <w:lvl w:ilvl="0">
      <w:start w:val="1"/>
      <w:numFmt w:val="bullet"/>
      <w:lvlText w:val=""/>
      <w:lvlJc w:val="left"/>
      <w:pPr>
        <w:tabs>
          <w:tab w:val="num" w:pos="0"/>
        </w:tabs>
        <w:ind w:left="1457" w:hanging="360"/>
      </w:pPr>
      <w:rPr>
        <w:rFonts w:ascii="Symbol" w:hAnsi="Symbol" w:cs="Symbol" w:hint="default"/>
      </w:rPr>
    </w:lvl>
    <w:lvl w:ilvl="1">
      <w:start w:val="1"/>
      <w:numFmt w:val="bullet"/>
      <w:lvlText w:val="o"/>
      <w:lvlJc w:val="left"/>
      <w:pPr>
        <w:tabs>
          <w:tab w:val="num" w:pos="0"/>
        </w:tabs>
        <w:ind w:left="2177" w:hanging="360"/>
      </w:pPr>
      <w:rPr>
        <w:rFonts w:ascii="Courier New" w:hAnsi="Courier New" w:cs="Courier New" w:hint="default"/>
      </w:rPr>
    </w:lvl>
    <w:lvl w:ilvl="2">
      <w:start w:val="1"/>
      <w:numFmt w:val="bullet"/>
      <w:lvlText w:val=""/>
      <w:lvlJc w:val="left"/>
      <w:pPr>
        <w:tabs>
          <w:tab w:val="num" w:pos="0"/>
        </w:tabs>
        <w:ind w:left="2897" w:hanging="360"/>
      </w:pPr>
      <w:rPr>
        <w:rFonts w:ascii="Wingdings" w:hAnsi="Wingdings" w:cs="Wingdings" w:hint="default"/>
      </w:rPr>
    </w:lvl>
    <w:lvl w:ilvl="3">
      <w:start w:val="1"/>
      <w:numFmt w:val="bullet"/>
      <w:lvlText w:val=""/>
      <w:lvlJc w:val="left"/>
      <w:pPr>
        <w:tabs>
          <w:tab w:val="num" w:pos="0"/>
        </w:tabs>
        <w:ind w:left="3617" w:hanging="360"/>
      </w:pPr>
      <w:rPr>
        <w:rFonts w:ascii="Symbol" w:hAnsi="Symbol" w:cs="Symbol" w:hint="default"/>
      </w:rPr>
    </w:lvl>
    <w:lvl w:ilvl="4">
      <w:start w:val="1"/>
      <w:numFmt w:val="bullet"/>
      <w:lvlText w:val="o"/>
      <w:lvlJc w:val="left"/>
      <w:pPr>
        <w:tabs>
          <w:tab w:val="num" w:pos="0"/>
        </w:tabs>
        <w:ind w:left="4337" w:hanging="360"/>
      </w:pPr>
      <w:rPr>
        <w:rFonts w:ascii="Courier New" w:hAnsi="Courier New" w:cs="Courier New" w:hint="default"/>
      </w:rPr>
    </w:lvl>
    <w:lvl w:ilvl="5">
      <w:start w:val="1"/>
      <w:numFmt w:val="bullet"/>
      <w:lvlText w:val=""/>
      <w:lvlJc w:val="left"/>
      <w:pPr>
        <w:tabs>
          <w:tab w:val="num" w:pos="0"/>
        </w:tabs>
        <w:ind w:left="5057" w:hanging="360"/>
      </w:pPr>
      <w:rPr>
        <w:rFonts w:ascii="Wingdings" w:hAnsi="Wingdings" w:cs="Wingdings" w:hint="default"/>
      </w:rPr>
    </w:lvl>
    <w:lvl w:ilvl="6">
      <w:start w:val="1"/>
      <w:numFmt w:val="bullet"/>
      <w:lvlText w:val=""/>
      <w:lvlJc w:val="left"/>
      <w:pPr>
        <w:tabs>
          <w:tab w:val="num" w:pos="0"/>
        </w:tabs>
        <w:ind w:left="5777" w:hanging="360"/>
      </w:pPr>
      <w:rPr>
        <w:rFonts w:ascii="Symbol" w:hAnsi="Symbol" w:cs="Symbol" w:hint="default"/>
      </w:rPr>
    </w:lvl>
    <w:lvl w:ilvl="7">
      <w:start w:val="1"/>
      <w:numFmt w:val="bullet"/>
      <w:lvlText w:val="o"/>
      <w:lvlJc w:val="left"/>
      <w:pPr>
        <w:tabs>
          <w:tab w:val="num" w:pos="0"/>
        </w:tabs>
        <w:ind w:left="6497" w:hanging="360"/>
      </w:pPr>
      <w:rPr>
        <w:rFonts w:ascii="Courier New" w:hAnsi="Courier New" w:cs="Courier New" w:hint="default"/>
      </w:rPr>
    </w:lvl>
    <w:lvl w:ilvl="8">
      <w:start w:val="1"/>
      <w:numFmt w:val="bullet"/>
      <w:lvlText w:val=""/>
      <w:lvlJc w:val="left"/>
      <w:pPr>
        <w:tabs>
          <w:tab w:val="num" w:pos="0"/>
        </w:tabs>
        <w:ind w:left="7217"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4"/>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sz w:val="24"/>
        <w:szCs w:val="24"/>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before="0" w:after="0"/>
      <w:jc w:val="left"/>
    </w:pPr>
    <w:rPr>
      <w:rFonts w:ascii="Times New Roman" w:hAnsi="Times New Roman" w:eastAsia="Noto Serif CJK SC" w:cs="Arial Unicode MS"/>
      <w:color w:val="auto"/>
      <w:kern w:val="0"/>
      <w:sz w:val="24"/>
      <w:szCs w:val="24"/>
      <w:lang w:val="ru-RU" w:eastAsia="ru-RU" w:bidi="ar-SA"/>
    </w:rPr>
  </w:style>
  <w:style w:type="paragraph" w:styleId="Heading1">
    <w:name w:val="Heading 1"/>
    <w:basedOn w:val="NormalIndent"/>
    <w:next w:val="NormalIndent"/>
    <w:qFormat/>
    <w:pPr>
      <w:keepNext w:val="true"/>
      <w:keepLines/>
      <w:pageBreakBefore/>
      <w:spacing w:before="240" w:after="0"/>
      <w:outlineLvl w:val="0"/>
    </w:pPr>
    <w:rPr>
      <w:b/>
      <w:caps/>
      <w:sz w:val="32"/>
    </w:rPr>
  </w:style>
  <w:style w:type="paragraph" w:styleId="Heading2">
    <w:name w:val="Heading 2"/>
    <w:basedOn w:val="NormalIndent"/>
    <w:next w:val="NormalIndent"/>
    <w:qFormat/>
    <w:pPr>
      <w:keepNext w:val="true"/>
      <w:keepLines/>
      <w:spacing w:before="120" w:after="120"/>
      <w:outlineLvl w:val="1"/>
    </w:pPr>
    <w:rPr>
      <w:b/>
      <w:sz w:val="32"/>
      <w:szCs w:val="26"/>
    </w:rPr>
  </w:style>
  <w:style w:type="paragraph" w:styleId="Heading3">
    <w:name w:val="Heading 3"/>
    <w:basedOn w:val="NormalIndent"/>
    <w:next w:val="NormalIndent"/>
    <w:qFormat/>
    <w:pPr>
      <w:keepNext w:val="true"/>
      <w:spacing w:before="120" w:after="120"/>
      <w:outlineLvl w:val="2"/>
    </w:pPr>
    <w:rPr>
      <w:b/>
      <w:sz w:val="30"/>
    </w:rPr>
  </w:style>
  <w:style w:type="paragraph" w:styleId="Heading4">
    <w:name w:val="Heading 4"/>
    <w:basedOn w:val="NormalIndent"/>
    <w:next w:val="NormalIndent"/>
    <w:qFormat/>
    <w:pPr>
      <w:keepNext w:val="true"/>
      <w:outlineLvl w:val="3"/>
    </w:pPr>
    <w:rPr>
      <w:b/>
      <w:sz w:val="28"/>
    </w:rPr>
  </w:style>
  <w:style w:type="paragraph" w:styleId="Heading5">
    <w:name w:val="Heading 5"/>
    <w:basedOn w:val="NormalIndent"/>
    <w:next w:val="NormalIndent"/>
    <w:link w:val="5"/>
    <w:qFormat/>
    <w:pPr>
      <w:keepNext w:val="true"/>
      <w:outlineLvl w:val="4"/>
    </w:pPr>
    <w:rPr>
      <w:b/>
    </w:rPr>
  </w:style>
  <w:style w:type="paragraph" w:styleId="Heading6">
    <w:name w:val="Heading 6"/>
    <w:basedOn w:val="Normal"/>
    <w:next w:val="Normal"/>
    <w:link w:val="6"/>
    <w:qFormat/>
    <w:pPr>
      <w:spacing w:before="240" w:after="60"/>
      <w:outlineLvl w:val="5"/>
    </w:pPr>
    <w:rPr>
      <w:i/>
      <w:sz w:val="22"/>
    </w:rPr>
  </w:style>
  <w:style w:type="paragraph" w:styleId="Heading7">
    <w:name w:val="Heading 7"/>
    <w:basedOn w:val="Normal"/>
    <w:next w:val="Normal"/>
    <w:link w:val="7"/>
    <w:qFormat/>
    <w:pPr>
      <w:spacing w:before="240" w:after="60"/>
      <w:outlineLvl w:val="6"/>
    </w:pPr>
    <w:rPr>
      <w:rFonts w:ascii="Arial" w:hAnsi="Arial"/>
      <w:sz w:val="20"/>
    </w:rPr>
  </w:style>
  <w:style w:type="paragraph" w:styleId="Heading8">
    <w:name w:val="Heading 8"/>
    <w:basedOn w:val="Normal"/>
    <w:next w:val="Normal"/>
    <w:link w:val="8"/>
    <w:qFormat/>
    <w:pPr>
      <w:spacing w:before="240" w:after="60"/>
      <w:outlineLvl w:val="7"/>
    </w:pPr>
    <w:rPr>
      <w:rFonts w:ascii="Arial" w:hAnsi="Arial"/>
      <w:i/>
      <w:sz w:val="20"/>
    </w:rPr>
  </w:style>
  <w:style w:type="paragraph" w:styleId="Heading9">
    <w:name w:val="Heading 9"/>
    <w:basedOn w:val="Normal"/>
    <w:next w:val="Normal"/>
    <w:link w:val="9"/>
    <w:qFormat/>
    <w:pPr>
      <w:spacing w:before="240" w:after="60"/>
      <w:outlineLvl w:val="8"/>
    </w:pPr>
    <w:rPr>
      <w:rFonts w:ascii="Arial" w:hAnsi="Arial"/>
      <w:b/>
      <w:i/>
      <w:sz w:val="18"/>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basedOn w:val="DefaultParagraphFont"/>
    <w:uiPriority w:val="35"/>
    <w:qFormat/>
    <w:rPr>
      <w:b/>
      <w:bCs/>
      <w:color w:val="4F81BD" w:themeColor="accent1"/>
      <w:sz w:val="18"/>
      <w:szCs w:val="18"/>
    </w:rPr>
  </w:style>
  <w:style w:type="character" w:styleId="FootnoteTextChar">
    <w:name w:val="Footnote Text Char"/>
    <w:uiPriority w:val="99"/>
    <w:qFormat/>
    <w:rPr>
      <w:sz w:val="18"/>
    </w:rPr>
  </w:style>
  <w:style w:type="character" w:styleId="Style">
    <w:name w:val="Символ сноски"/>
    <w:basedOn w:val="DefaultParagraphFont"/>
    <w:uiPriority w:val="99"/>
    <w:unhideWhenUsed/>
    <w:qFormat/>
    <w:rPr>
      <w:vertAlign w:val="superscript"/>
    </w:rPr>
  </w:style>
  <w:style w:type="character" w:styleId="FootnoteReference">
    <w:name w:val="Footnote Reference"/>
    <w:rPr>
      <w:vertAlign w:val="superscript"/>
    </w:rPr>
  </w:style>
  <w:style w:type="character" w:styleId="EndnoteTextChar">
    <w:name w:val="Endnote Text Char"/>
    <w:uiPriority w:val="99"/>
    <w:qFormat/>
    <w:rPr>
      <w:sz w:val="20"/>
    </w:rPr>
  </w:style>
  <w:style w:type="character" w:styleId="Style1">
    <w:name w:val="Символ концевой сноски"/>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rFonts w:ascii="Times New Roman" w:hAnsi="Times New Roman"/>
      <w:position w:val="0"/>
      <w:sz w:val="24"/>
      <w:sz w:val="24"/>
      <w:vertAlign w:val="baseline"/>
      <w:lang w:val="ru-RU"/>
    </w:rPr>
  </w:style>
  <w:style w:type="character" w:styleId="Arial16" w:customStyle="1">
    <w:name w:val="По центру + Arial 16 Знак"/>
    <w:basedOn w:val="DefaultParagraphFont"/>
    <w:link w:val="Arial161"/>
    <w:qFormat/>
    <w:rPr>
      <w:rFonts w:ascii="Arial" w:hAnsi="Arial"/>
      <w:b/>
      <w:bCs/>
      <w:sz w:val="32"/>
      <w:lang w:val="ru-RU" w:eastAsia="ru-RU" w:bidi="ar-SA"/>
    </w:rPr>
  </w:style>
  <w:style w:type="character" w:styleId="Style2" w:customStyle="1">
    <w:name w:val="По центру Знак"/>
    <w:basedOn w:val="DefaultParagraphFont"/>
    <w:link w:val="Style20"/>
    <w:qFormat/>
    <w:rPr>
      <w:sz w:val="24"/>
      <w:lang w:val="ru-RU" w:eastAsia="ru-RU" w:bidi="ar-SA"/>
    </w:rPr>
  </w:style>
  <w:style w:type="character" w:styleId="5" w:customStyle="1">
    <w:name w:val="Заголовок 5 Знак"/>
    <w:basedOn w:val="DefaultParagraphFont"/>
    <w:qFormat/>
    <w:rPr>
      <w:b/>
    </w:rPr>
  </w:style>
  <w:style w:type="character" w:styleId="PlaceholderText">
    <w:name w:val="Placeholder Text"/>
    <w:basedOn w:val="DefaultParagraphFont"/>
    <w:uiPriority w:val="99"/>
    <w:semiHidden/>
    <w:qFormat/>
    <w:rPr>
      <w:color w:val="808080"/>
    </w:rPr>
  </w:style>
  <w:style w:type="character" w:styleId="Style3" w:customStyle="1">
    <w:name w:val="Нижний колонтитул Знак"/>
    <w:basedOn w:val="DefaultParagraphFont"/>
    <w:uiPriority w:val="99"/>
    <w:qFormat/>
    <w:rPr/>
  </w:style>
  <w:style w:type="character" w:styleId="2" w:customStyle="1">
    <w:name w:val="Основной текст с отступом 2 Знак"/>
    <w:basedOn w:val="DefaultParagraphFont"/>
    <w:link w:val="BodyTextIndent2"/>
    <w:qFormat/>
    <w:rPr/>
  </w:style>
  <w:style w:type="character" w:styleId="Style4" w:customStyle="1">
    <w:name w:val="Схема документа Знак"/>
    <w:basedOn w:val="DefaultParagraphFont"/>
    <w:link w:val="DocumentMap"/>
    <w:qFormat/>
    <w:rPr>
      <w:rFonts w:ascii="Tahoma" w:hAnsi="Tahoma" w:cs="Tahoma"/>
      <w:sz w:val="16"/>
      <w:szCs w:val="16"/>
    </w:rPr>
  </w:style>
  <w:style w:type="character" w:styleId="Style5" w:customStyle="1">
    <w:name w:val="!абзац Знак"/>
    <w:link w:val="Style23"/>
    <w:qFormat/>
    <w:rPr/>
  </w:style>
  <w:style w:type="character" w:styleId="Style6" w:customStyle="1">
    <w:name w:val="Текст Записки Знак"/>
    <w:link w:val="Style24"/>
    <w:qFormat/>
    <w:rPr>
      <w:rFonts w:ascii="Arial" w:hAnsi="Arial"/>
      <w:bCs/>
    </w:rPr>
  </w:style>
  <w:style w:type="character" w:styleId="Style7" w:customStyle="1">
    <w:name w:val="Заголовок Знак"/>
    <w:basedOn w:val="DefaultParagraphFont"/>
    <w:qFormat/>
    <w:rPr>
      <w:rFonts w:ascii="Arial" w:hAnsi="Arial" w:cs="Arial"/>
      <w:b/>
      <w:bCs/>
      <w:sz w:val="32"/>
      <w:szCs w:val="32"/>
    </w:rPr>
  </w:style>
  <w:style w:type="character" w:styleId="Hyperlink">
    <w:name w:val="Hyperlink"/>
    <w:uiPriority w:val="99"/>
    <w:rPr>
      <w:color w:val="0000FF"/>
      <w:u w:val="single"/>
    </w:rPr>
  </w:style>
  <w:style w:type="character" w:styleId="-" w:customStyle="1">
    <w:name w:val="Текст-Записки Знак"/>
    <w:link w:val="-1"/>
    <w:qFormat/>
    <w:rPr>
      <w:rFonts w:ascii="Arial" w:hAnsi="Arial"/>
      <w:szCs w:val="20"/>
      <w:lang w:val="en-US" w:eastAsia="en-US"/>
    </w:rPr>
  </w:style>
  <w:style w:type="character" w:styleId="21" w:customStyle="1">
    <w:name w:val="Основной текст 2 Знак"/>
    <w:basedOn w:val="DefaultParagraphFont"/>
    <w:link w:val="BodyText2"/>
    <w:qFormat/>
    <w:rPr>
      <w:rFonts w:ascii="Arial CYR" w:hAnsi="Arial CYR"/>
      <w:color w:val="000000"/>
    </w:rPr>
  </w:style>
  <w:style w:type="character" w:styleId="Style8" w:customStyle="1">
    <w:name w:val="Верхний колонтитул Знак"/>
    <w:qFormat/>
    <w:rPr/>
  </w:style>
  <w:style w:type="character" w:styleId="12" w:customStyle="1">
    <w:name w:val="Текст 12 По ширине Обычный Знак"/>
    <w:link w:val="122"/>
    <w:qFormat/>
    <w:rPr>
      <w:rFonts w:ascii="Arial" w:hAnsi="Arial"/>
      <w:color w:val="000000"/>
      <w:lang w:eastAsia="en-US"/>
    </w:rPr>
  </w:style>
  <w:style w:type="character" w:styleId="121" w:customStyle="1">
    <w:name w:val="Индекс надстрочный 12"/>
    <w:uiPriority w:val="1"/>
    <w:qFormat/>
    <w:rPr>
      <w:rFonts w:ascii="Arial" w:hAnsi="Arial" w:eastAsia="Times New Roman"/>
      <w:caps w:val="false"/>
      <w:smallCaps w:val="false"/>
      <w:strike w:val="false"/>
      <w:dstrike w:val="false"/>
      <w:vanish w:val="false"/>
      <w:color w:val="auto"/>
      <w:sz w:val="24"/>
      <w:szCs w:val="24"/>
      <w:vertAlign w:val="superscript"/>
      <w:lang w:eastAsia="en-US"/>
    </w:rPr>
  </w:style>
  <w:style w:type="character" w:styleId="Style9" w:customStyle="1">
    <w:name w:val="Без интервала Знак"/>
    <w:link w:val="NoSpacing"/>
    <w:uiPriority w:val="1"/>
    <w:qFormat/>
    <w:rPr>
      <w:sz w:val="20"/>
      <w:szCs w:val="20"/>
    </w:rPr>
  </w:style>
  <w:style w:type="character" w:styleId="6" w:customStyle="1">
    <w:name w:val="Заголовок 6 Знак"/>
    <w:qFormat/>
    <w:rPr>
      <w:i/>
      <w:sz w:val="22"/>
    </w:rPr>
  </w:style>
  <w:style w:type="character" w:styleId="7" w:customStyle="1">
    <w:name w:val="Заголовок 7 Знак"/>
    <w:qFormat/>
    <w:rPr>
      <w:rFonts w:ascii="Arial" w:hAnsi="Arial"/>
      <w:sz w:val="20"/>
    </w:rPr>
  </w:style>
  <w:style w:type="character" w:styleId="8" w:customStyle="1">
    <w:name w:val="Заголовок 8 Знак"/>
    <w:qFormat/>
    <w:rPr>
      <w:rFonts w:ascii="Arial" w:hAnsi="Arial"/>
      <w:i/>
      <w:sz w:val="20"/>
    </w:rPr>
  </w:style>
  <w:style w:type="character" w:styleId="9" w:customStyle="1">
    <w:name w:val="Заголовок 9 Знак"/>
    <w:qFormat/>
    <w:rPr>
      <w:rFonts w:ascii="Arial" w:hAnsi="Arial"/>
      <w:b/>
      <w:i/>
      <w:sz w:val="18"/>
    </w:rPr>
  </w:style>
  <w:style w:type="character" w:styleId="Style10" w:customStyle="1">
    <w:name w:val="Выделение Желтый"/>
    <w:uiPriority w:val="1"/>
    <w:qFormat/>
    <w:rPr>
      <w:rFonts w:ascii="Arial" w:hAnsi="Arial"/>
      <w:color w:val="000000"/>
      <w:sz w:val="24"/>
      <w:szCs w:val="24"/>
      <w:lang w:eastAsia="en-US"/>
    </w:rPr>
  </w:style>
  <w:style w:type="character" w:styleId="Style11" w:customStyle="1">
    <w:name w:val="Абзац списка Знак"/>
    <w:link w:val="ListParagraph"/>
    <w:uiPriority w:val="34"/>
    <w:qFormat/>
    <w:rPr/>
  </w:style>
  <w:style w:type="character" w:styleId="Annotationreference">
    <w:name w:val="annotation reference"/>
    <w:basedOn w:val="DefaultParagraphFont"/>
    <w:semiHidden/>
    <w:unhideWhenUsed/>
    <w:qFormat/>
    <w:rPr>
      <w:sz w:val="16"/>
      <w:szCs w:val="16"/>
    </w:rPr>
  </w:style>
  <w:style w:type="character" w:styleId="Style12" w:customStyle="1">
    <w:name w:val="Текст примечания Знак"/>
    <w:basedOn w:val="DefaultParagraphFont"/>
    <w:link w:val="Annotationtext"/>
    <w:semiHidden/>
    <w:qFormat/>
    <w:rPr>
      <w:sz w:val="20"/>
      <w:szCs w:val="20"/>
    </w:rPr>
  </w:style>
  <w:style w:type="character" w:styleId="Style13" w:customStyle="1">
    <w:name w:val="Тема примечания Знак"/>
    <w:basedOn w:val="Style12"/>
    <w:link w:val="Annotationsubject"/>
    <w:semiHidden/>
    <w:qFormat/>
    <w:rPr>
      <w:b/>
      <w:bCs/>
      <w:sz w:val="20"/>
      <w:szCs w:val="20"/>
    </w:rPr>
  </w:style>
  <w:style w:type="character" w:styleId="Style14">
    <w:name w:val="Ссылка указателя"/>
    <w:qFormat/>
    <w:rPr/>
  </w:style>
  <w:style w:type="paragraph" w:styleId="Style15">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rFonts w:cs="Arial Unicode MS"/>
    </w:rPr>
  </w:style>
  <w:style w:type="paragraph" w:styleId="Caption">
    <w:name w:val="Caption"/>
    <w:basedOn w:val="Normal"/>
    <w:next w:val="Normal"/>
    <w:link w:val="CaptionChar"/>
    <w:qFormat/>
    <w:pPr>
      <w:keepNext w:val="true"/>
      <w:keepLines/>
      <w:spacing w:before="120" w:after="60"/>
      <w:ind w:right="284" w:hanging="0"/>
      <w:jc w:val="right"/>
    </w:pPr>
    <w:rPr>
      <w:b/>
      <w:bCs/>
    </w:rPr>
  </w:style>
  <w:style w:type="paragraph" w:styleId="Style16">
    <w:name w:val="Указатель"/>
    <w:basedOn w:val="Normal"/>
    <w:qFormat/>
    <w:pPr>
      <w:suppressLineNumbers/>
    </w:pPr>
    <w:rPr>
      <w:rFonts w:cs="Arial Unicode MS"/>
    </w:rPr>
  </w:style>
  <w:style w:type="paragraph" w:styleId="Subtitle">
    <w:name w:val="Subtitle"/>
    <w:basedOn w:val="Normal"/>
    <w:next w:val="Normal"/>
    <w:link w:val="SubtitleChar"/>
    <w:uiPriority w:val="11"/>
    <w:qFormat/>
    <w:pPr>
      <w:spacing w:before="200" w:after="200"/>
    </w:pPr>
    <w:rPr>
      <w:sz w:val="24"/>
      <w:szCs w:val="24"/>
    </w:rPr>
  </w:style>
  <w:style w:type="paragraph" w:styleId="Quote">
    <w:name w:val="Quote"/>
    <w:basedOn w:val="Normal"/>
    <w:next w:val="Normal"/>
    <w:link w:val="QuoteChar"/>
    <w:uiPriority w:val="29"/>
    <w:qFormat/>
    <w:pPr>
      <w:ind w:left="720" w:right="720" w:hanging="0"/>
    </w:pPr>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FootnoteText">
    <w:name w:val="Footnote Text"/>
    <w:basedOn w:val="Normal"/>
    <w:link w:val="FootnoteTextChar"/>
    <w:uiPriority w:val="99"/>
    <w:semiHidden/>
    <w:unhideWhenUsed/>
    <w:pPr>
      <w:spacing w:lineRule="auto" w:line="240" w:before="0" w:after="40"/>
    </w:pPr>
    <w:rPr>
      <w:sz w:val="18"/>
    </w:rPr>
  </w:style>
  <w:style w:type="paragraph" w:styleId="EndnoteText">
    <w:name w:val="Endnote Text"/>
    <w:basedOn w:val="Normal"/>
    <w:link w:val="EndnoteTextChar"/>
    <w:uiPriority w:val="99"/>
    <w:semiHidden/>
    <w:unhideWhenUsed/>
    <w:pPr>
      <w:spacing w:lineRule="auto" w:line="240" w:before="0" w:after="0"/>
    </w:pPr>
    <w:rPr>
      <w:sz w:val="20"/>
    </w:rPr>
  </w:style>
  <w:style w:type="paragraph" w:styleId="Tableoffigures">
    <w:name w:val="table of figures"/>
    <w:basedOn w:val="Normal"/>
    <w:next w:val="Normal"/>
    <w:uiPriority w:val="99"/>
    <w:unhideWhenUsed/>
    <w:qFormat/>
    <w:pPr>
      <w:spacing w:before="0" w:afterAutospacing="0" w:after="0"/>
    </w:pPr>
    <w:rPr/>
  </w:style>
  <w:style w:type="paragraph" w:styleId="Style17">
    <w:name w:val="Колонтитул"/>
    <w:basedOn w:val="Normal"/>
    <w:qFormat/>
    <w:pPr/>
    <w:rPr/>
  </w:style>
  <w:style w:type="paragraph" w:styleId="Header">
    <w:name w:val="Header"/>
    <w:basedOn w:val="Normal"/>
    <w:link w:val="Style8"/>
    <w:pPr>
      <w:tabs>
        <w:tab w:val="clear" w:pos="720"/>
        <w:tab w:val="center" w:pos="4153" w:leader="none"/>
        <w:tab w:val="right" w:pos="8306" w:leader="none"/>
      </w:tabs>
    </w:pPr>
    <w:rPr/>
  </w:style>
  <w:style w:type="paragraph" w:styleId="Footer">
    <w:name w:val="Footer"/>
    <w:basedOn w:val="Normal"/>
    <w:link w:val="Style3"/>
    <w:uiPriority w:val="99"/>
    <w:pPr>
      <w:tabs>
        <w:tab w:val="clear" w:pos="720"/>
        <w:tab w:val="center" w:pos="4153" w:leader="none"/>
        <w:tab w:val="right" w:pos="8306" w:leader="none"/>
      </w:tabs>
    </w:pPr>
    <w:rPr/>
  </w:style>
  <w:style w:type="paragraph" w:styleId="1" w:customStyle="1">
    <w:name w:val="Колонт1"/>
    <w:basedOn w:val="Normal"/>
    <w:qFormat/>
    <w:pPr>
      <w:jc w:val="center"/>
    </w:pPr>
    <w:rPr>
      <w:sz w:val="20"/>
    </w:rPr>
  </w:style>
  <w:style w:type="paragraph" w:styleId="NormalIndent">
    <w:name w:val="Normal Indent"/>
    <w:basedOn w:val="Normal"/>
    <w:qFormat/>
    <w:pPr>
      <w:spacing w:before="60" w:after="60"/>
      <w:ind w:firstLine="709"/>
      <w:jc w:val="both"/>
    </w:pPr>
    <w:rPr/>
  </w:style>
  <w:style w:type="paragraph" w:styleId="TOC1">
    <w:name w:val="TOC 1"/>
    <w:basedOn w:val="Normal"/>
    <w:next w:val="Normal"/>
    <w:uiPriority w:val="39"/>
    <w:qFormat/>
    <w:pPr>
      <w:tabs>
        <w:tab w:val="clear" w:pos="720"/>
        <w:tab w:val="left" w:pos="1300" w:leader="none"/>
        <w:tab w:val="right" w:pos="9356" w:leader="none"/>
      </w:tabs>
      <w:ind w:left="720" w:hanging="0"/>
    </w:pPr>
    <w:rPr/>
  </w:style>
  <w:style w:type="paragraph" w:styleId="ListNumber">
    <w:name w:val="List Number"/>
    <w:basedOn w:val="NormalIndent"/>
    <w:qFormat/>
    <w:pPr/>
    <w:rPr/>
  </w:style>
  <w:style w:type="paragraph" w:styleId="TOC2">
    <w:name w:val="TOC 2"/>
    <w:basedOn w:val="Normal"/>
    <w:next w:val="Normal"/>
    <w:uiPriority w:val="39"/>
    <w:semiHidden/>
    <w:qFormat/>
    <w:pPr>
      <w:ind w:left="260" w:hanging="0"/>
    </w:pPr>
    <w:rPr/>
  </w:style>
  <w:style w:type="paragraph" w:styleId="TOC3">
    <w:name w:val="TOC 3"/>
    <w:basedOn w:val="Normal"/>
    <w:next w:val="Normal"/>
    <w:uiPriority w:val="39"/>
    <w:semiHidden/>
    <w:qFormat/>
    <w:pPr>
      <w:ind w:left="520" w:hanging="0"/>
    </w:pPr>
    <w:rPr/>
  </w:style>
  <w:style w:type="paragraph" w:styleId="TOC4">
    <w:name w:val="TOC 4"/>
    <w:basedOn w:val="Normal"/>
    <w:next w:val="Normal"/>
    <w:semiHidden/>
    <w:pPr>
      <w:ind w:left="780" w:hanging="0"/>
    </w:pPr>
    <w:rPr/>
  </w:style>
  <w:style w:type="paragraph" w:styleId="TOC5">
    <w:name w:val="TOC 5"/>
    <w:basedOn w:val="Normal"/>
    <w:next w:val="Normal"/>
    <w:semiHidden/>
    <w:pPr>
      <w:ind w:left="1040" w:hanging="0"/>
    </w:pPr>
    <w:rPr/>
  </w:style>
  <w:style w:type="paragraph" w:styleId="TOC6">
    <w:name w:val="TOC 6"/>
    <w:basedOn w:val="Normal"/>
    <w:next w:val="Normal"/>
    <w:semiHidden/>
    <w:pPr>
      <w:ind w:left="1300" w:hanging="0"/>
    </w:pPr>
    <w:rPr/>
  </w:style>
  <w:style w:type="paragraph" w:styleId="TOC7">
    <w:name w:val="TOC 7"/>
    <w:basedOn w:val="Normal"/>
    <w:next w:val="Normal"/>
    <w:semiHidden/>
    <w:pPr>
      <w:ind w:left="1560" w:hanging="0"/>
    </w:pPr>
    <w:rPr/>
  </w:style>
  <w:style w:type="paragraph" w:styleId="TOC8">
    <w:name w:val="TOC 8"/>
    <w:basedOn w:val="Normal"/>
    <w:next w:val="Normal"/>
    <w:semiHidden/>
    <w:pPr>
      <w:ind w:left="1820" w:hanging="0"/>
    </w:pPr>
    <w:rPr/>
  </w:style>
  <w:style w:type="paragraph" w:styleId="TOC9">
    <w:name w:val="TOC 9"/>
    <w:basedOn w:val="Normal"/>
    <w:next w:val="Normal"/>
    <w:semiHidden/>
    <w:pPr>
      <w:ind w:left="2080" w:hanging="0"/>
    </w:pPr>
    <w:rPr/>
  </w:style>
  <w:style w:type="paragraph" w:styleId="Style18" w:customStyle="1">
    <w:name w:val="Заголовок табл"/>
    <w:basedOn w:val="Normal"/>
    <w:qFormat/>
    <w:pPr>
      <w:jc w:val="center"/>
    </w:pPr>
    <w:rPr/>
  </w:style>
  <w:style w:type="paragraph" w:styleId="BalloonText">
    <w:name w:val="Balloon Text"/>
    <w:basedOn w:val="Normal"/>
    <w:semiHidden/>
    <w:qFormat/>
    <w:pPr/>
    <w:rPr>
      <w:rFonts w:ascii="Tahoma" w:hAnsi="Tahoma" w:cs="Tahoma"/>
      <w:sz w:val="16"/>
      <w:szCs w:val="16"/>
    </w:rPr>
  </w:style>
  <w:style w:type="paragraph" w:styleId="Style19" w:customStyle="1">
    <w:name w:val="Содержание"/>
    <w:basedOn w:val="Normal"/>
    <w:qFormat/>
    <w:pPr>
      <w:ind w:left="454" w:hanging="454"/>
      <w:jc w:val="both"/>
    </w:pPr>
    <w:rPr/>
  </w:style>
  <w:style w:type="paragraph" w:styleId="ListBullet">
    <w:name w:val="List Bullet"/>
    <w:basedOn w:val="Normal"/>
    <w:qFormat/>
    <w:pPr>
      <w:numPr>
        <w:ilvl w:val="0"/>
        <w:numId w:val="1"/>
      </w:numPr>
      <w:spacing w:before="120" w:after="0"/>
      <w:jc w:val="both"/>
    </w:pPr>
    <w:rPr/>
  </w:style>
  <w:style w:type="paragraph" w:styleId="Style20" w:customStyle="1">
    <w:name w:val="По центру"/>
    <w:basedOn w:val="Normal"/>
    <w:link w:val="Style2"/>
    <w:qFormat/>
    <w:pPr>
      <w:jc w:val="center"/>
    </w:pPr>
    <w:rPr/>
  </w:style>
  <w:style w:type="paragraph" w:styleId="14" w:customStyle="1">
    <w:name w:val="По центру 14"/>
    <w:basedOn w:val="Normal"/>
    <w:qFormat/>
    <w:pPr>
      <w:spacing w:before="240" w:after="120"/>
      <w:jc w:val="center"/>
    </w:pPr>
    <w:rPr>
      <w:b/>
      <w:bCs/>
      <w:sz w:val="28"/>
    </w:rPr>
  </w:style>
  <w:style w:type="paragraph" w:styleId="18" w:customStyle="1">
    <w:name w:val="По центру 18"/>
    <w:basedOn w:val="Normal"/>
    <w:qFormat/>
    <w:pPr>
      <w:jc w:val="center"/>
    </w:pPr>
    <w:rPr>
      <w:b/>
      <w:bCs/>
      <w:sz w:val="36"/>
    </w:rPr>
  </w:style>
  <w:style w:type="paragraph" w:styleId="Arial161" w:customStyle="1">
    <w:name w:val="По центру + Arial 16"/>
    <w:basedOn w:val="Normal"/>
    <w:link w:val="Arial16"/>
    <w:qFormat/>
    <w:pPr>
      <w:jc w:val="center"/>
    </w:pPr>
    <w:rPr>
      <w:rFonts w:ascii="Arial" w:hAnsi="Arial"/>
      <w:b/>
      <w:bCs/>
      <w:sz w:val="32"/>
    </w:rPr>
  </w:style>
  <w:style w:type="paragraph" w:styleId="11" w:customStyle="1">
    <w:name w:val="Содержание 1"/>
    <w:basedOn w:val="Normal"/>
    <w:qFormat/>
    <w:pPr>
      <w:spacing w:before="120" w:after="60"/>
      <w:ind w:left="454" w:hanging="454"/>
    </w:pPr>
    <w:rPr/>
  </w:style>
  <w:style w:type="paragraph" w:styleId="211" w:customStyle="1">
    <w:name w:val="Заголовок 2.1"/>
    <w:basedOn w:val="Heading1"/>
    <w:qFormat/>
    <w:pPr>
      <w:pageBreakBefore w:val="false"/>
    </w:pPr>
    <w:rPr/>
  </w:style>
  <w:style w:type="paragraph" w:styleId="Style21" w:customStyle="1">
    <w:name w:val="Надпись в рамке"/>
    <w:basedOn w:val="Style20"/>
    <w:qFormat/>
    <w:pPr>
      <w:pBdr>
        <w:top w:val="single" w:sz="12" w:space="5" w:color="000000"/>
        <w:left w:val="single" w:sz="12" w:space="10" w:color="000000"/>
        <w:bottom w:val="single" w:sz="12" w:space="5" w:color="000000"/>
        <w:right w:val="single" w:sz="12" w:space="10" w:color="000000"/>
      </w:pBdr>
      <w:ind w:left="510" w:right="510" w:hanging="0"/>
    </w:pPr>
    <w:rPr/>
  </w:style>
  <w:style w:type="paragraph" w:styleId="111" w:customStyle="1">
    <w:name w:val="ЗАГОЛОВОК 1.1"/>
    <w:basedOn w:val="Heading1"/>
    <w:qFormat/>
    <w:pPr>
      <w:pageBreakBefore w:val="false"/>
    </w:pPr>
    <w:rPr/>
  </w:style>
  <w:style w:type="paragraph" w:styleId="Style22" w:customStyle="1">
    <w:name w:val="Таблица"/>
    <w:basedOn w:val="Heading1"/>
    <w:qFormat/>
    <w:pPr>
      <w:pageBreakBefore w:val="false"/>
      <w:ind w:right="284" w:hanging="0"/>
      <w:jc w:val="right"/>
      <w:outlineLvl w:val="9"/>
    </w:pPr>
    <w:rPr>
      <w:caps w:val="false"/>
      <w:smallCaps w:val="false"/>
      <w:sz w:val="26"/>
      <w:szCs w:val="26"/>
    </w:rPr>
  </w:style>
  <w:style w:type="paragraph" w:styleId="BodyTextIndent">
    <w:name w:val="Body Text Indent"/>
    <w:basedOn w:val="BodyText"/>
    <w:qFormat/>
    <w:pPr>
      <w:spacing w:before="120" w:after="0"/>
      <w:ind w:firstLine="709"/>
      <w:jc w:val="both"/>
    </w:pPr>
    <w:rPr/>
  </w:style>
  <w:style w:type="paragraph" w:styleId="ListParagraph">
    <w:name w:val="List Paragraph"/>
    <w:basedOn w:val="Normal"/>
    <w:link w:val="Style11"/>
    <w:uiPriority w:val="34"/>
    <w:qFormat/>
    <w:pPr>
      <w:spacing w:before="0" w:after="0"/>
      <w:ind w:left="720" w:hanging="0"/>
      <w:contextualSpacing/>
    </w:pPr>
    <w:rPr/>
  </w:style>
  <w:style w:type="paragraph" w:styleId="BodyTextIndent2">
    <w:name w:val="Body Text Indent 2"/>
    <w:basedOn w:val="Normal"/>
    <w:link w:val="2"/>
    <w:qFormat/>
    <w:pPr>
      <w:spacing w:lineRule="auto" w:line="480" w:before="0" w:after="120"/>
      <w:ind w:left="283" w:hanging="0"/>
    </w:pPr>
    <w:rPr/>
  </w:style>
  <w:style w:type="paragraph" w:styleId="DocumentMap">
    <w:name w:val="Document Map"/>
    <w:basedOn w:val="Normal"/>
    <w:link w:val="Style4"/>
    <w:qFormat/>
    <w:pPr/>
    <w:rPr>
      <w:rFonts w:ascii="Tahoma" w:hAnsi="Tahoma" w:cs="Tahoma"/>
      <w:sz w:val="16"/>
      <w:szCs w:val="16"/>
    </w:rPr>
  </w:style>
  <w:style w:type="paragraph" w:styleId="Style23" w:customStyle="1">
    <w:name w:val="!абзац"/>
    <w:basedOn w:val="Normal"/>
    <w:link w:val="Style5"/>
    <w:qFormat/>
    <w:pPr>
      <w:spacing w:lineRule="auto" w:line="360" w:before="120" w:after="120"/>
      <w:ind w:firstLine="720"/>
      <w:contextualSpacing/>
      <w:jc w:val="both"/>
    </w:pPr>
    <w:rPr/>
  </w:style>
  <w:style w:type="paragraph" w:styleId="Style24" w:customStyle="1">
    <w:name w:val="Текст Записки"/>
    <w:basedOn w:val="Normal"/>
    <w:link w:val="Style6"/>
    <w:qFormat/>
    <w:pPr>
      <w:spacing w:before="120" w:after="0"/>
      <w:jc w:val="both"/>
    </w:pPr>
    <w:rPr>
      <w:rFonts w:ascii="Arial" w:hAnsi="Arial"/>
      <w:bCs/>
    </w:rPr>
  </w:style>
  <w:style w:type="paragraph" w:styleId="13" w:customStyle="1">
    <w:name w:val="Марк 1"/>
    <w:basedOn w:val="Style24"/>
    <w:qFormat/>
    <w:pPr>
      <w:spacing w:before="60" w:after="0"/>
    </w:pPr>
    <w:rPr>
      <w:bCs w:val="false"/>
      <w:szCs w:val="20"/>
    </w:rPr>
  </w:style>
  <w:style w:type="paragraph" w:styleId="TextTabl" w:customStyle="1">
    <w:name w:val="TextTabl"/>
    <w:basedOn w:val="Normal"/>
    <w:qFormat/>
    <w:pPr>
      <w:spacing w:before="120" w:after="120"/>
      <w:jc w:val="both"/>
    </w:pPr>
    <w:rPr>
      <w:rFonts w:ascii="Arial" w:hAnsi="Arial"/>
      <w:sz w:val="20"/>
      <w:szCs w:val="20"/>
      <w:lang w:val="en-US" w:eastAsia="en-US"/>
    </w:rPr>
  </w:style>
  <w:style w:type="paragraph" w:styleId="Text" w:customStyle="1">
    <w:name w:val="text"/>
    <w:basedOn w:val="Normal"/>
    <w:qFormat/>
    <w:pPr>
      <w:spacing w:before="0" w:after="120"/>
      <w:jc w:val="both"/>
    </w:pPr>
    <w:rPr>
      <w:rFonts w:ascii="Arial" w:hAnsi="Arial"/>
      <w:szCs w:val="20"/>
    </w:rPr>
  </w:style>
  <w:style w:type="paragraph" w:styleId="Title">
    <w:name w:val="Title"/>
    <w:basedOn w:val="Normal"/>
    <w:link w:val="Style7"/>
    <w:qFormat/>
    <w:pPr>
      <w:spacing w:before="240" w:after="60"/>
      <w:jc w:val="center"/>
      <w:outlineLvl w:val="0"/>
    </w:pPr>
    <w:rPr>
      <w:rFonts w:ascii="Arial" w:hAnsi="Arial" w:cs="Arial"/>
      <w:b/>
      <w:bCs/>
      <w:sz w:val="32"/>
      <w:szCs w:val="32"/>
    </w:rPr>
  </w:style>
  <w:style w:type="paragraph" w:styleId="--" w:customStyle="1">
    <w:name w:val="-Текст-Записки"/>
    <w:basedOn w:val="Normal"/>
    <w:qFormat/>
    <w:pPr>
      <w:numPr>
        <w:ilvl w:val="0"/>
        <w:numId w:val="3"/>
      </w:numPr>
      <w:spacing w:before="120" w:after="0"/>
      <w:ind w:right="170" w:hanging="0"/>
      <w:jc w:val="both"/>
    </w:pPr>
    <w:rPr>
      <w:rFonts w:ascii="Arial" w:hAnsi="Arial"/>
      <w:szCs w:val="20"/>
      <w:lang w:val="en-US" w:eastAsia="en-US"/>
    </w:rPr>
  </w:style>
  <w:style w:type="paragraph" w:styleId="Text12-" w:customStyle="1">
    <w:name w:val="TextТаблицы12-"/>
    <w:basedOn w:val="Text"/>
    <w:qFormat/>
    <w:pPr>
      <w:spacing w:before="0" w:after="0"/>
      <w:jc w:val="left"/>
    </w:pPr>
    <w:rPr>
      <w:rFonts w:cs="Arial"/>
      <w:szCs w:val="24"/>
      <w:lang w:val="en-US"/>
    </w:rPr>
  </w:style>
  <w:style w:type="paragraph" w:styleId="Name12" w:customStyle="1">
    <w:name w:val="Name колонки12"/>
    <w:basedOn w:val="Normal"/>
    <w:next w:val="Normal"/>
    <w:qFormat/>
    <w:pPr>
      <w:jc w:val="center"/>
    </w:pPr>
    <w:rPr>
      <w:rFonts w:ascii="Arial" w:hAnsi="Arial"/>
      <w:b/>
      <w:szCs w:val="20"/>
      <w:lang w:val="en-US"/>
    </w:rPr>
  </w:style>
  <w:style w:type="paragraph" w:styleId="Text12-1" w:customStyle="1">
    <w:name w:val="TextТаблицы12 -"/>
    <w:basedOn w:val="Text12-"/>
    <w:qFormat/>
    <w:pPr>
      <w:jc w:val="center"/>
    </w:pPr>
    <w:rPr/>
  </w:style>
  <w:style w:type="paragraph" w:styleId="Index3">
    <w:name w:val="index 3"/>
    <w:basedOn w:val="Normal"/>
    <w:next w:val="Normal"/>
    <w:semiHidden/>
    <w:qFormat/>
    <w:pPr>
      <w:ind w:left="142" w:hanging="199"/>
      <w:jc w:val="center"/>
    </w:pPr>
    <w:rPr>
      <w:rFonts w:ascii="Arial" w:hAnsi="Arial"/>
      <w:szCs w:val="20"/>
    </w:rPr>
  </w:style>
  <w:style w:type="paragraph" w:styleId="-1" w:customStyle="1">
    <w:name w:val="Текст-Записки"/>
    <w:basedOn w:val="Normal"/>
    <w:link w:val="-"/>
    <w:qFormat/>
    <w:pPr>
      <w:spacing w:before="240" w:after="0"/>
      <w:ind w:left="170" w:right="170" w:hanging="0"/>
      <w:jc w:val="both"/>
    </w:pPr>
    <w:rPr>
      <w:rFonts w:ascii="Arial" w:hAnsi="Arial"/>
      <w:szCs w:val="20"/>
      <w:lang w:val="en-US" w:eastAsia="en-US"/>
    </w:rPr>
  </w:style>
  <w:style w:type="paragraph" w:styleId="Index5">
    <w:name w:val="index 5"/>
    <w:basedOn w:val="Normal"/>
    <w:next w:val="Normal"/>
    <w:semiHidden/>
    <w:qFormat/>
    <w:pPr>
      <w:spacing w:lineRule="auto" w:line="360" w:before="120" w:after="120"/>
      <w:ind w:left="200" w:hanging="200"/>
    </w:pPr>
    <w:rPr>
      <w:rFonts w:ascii="Arial" w:hAnsi="Arial"/>
      <w:lang w:val="en-US" w:eastAsia="en-US"/>
    </w:rPr>
  </w:style>
  <w:style w:type="paragraph" w:styleId="Index7">
    <w:name w:val="index 7"/>
    <w:basedOn w:val="Normal"/>
    <w:next w:val="Normal"/>
    <w:semiHidden/>
    <w:qFormat/>
    <w:pPr>
      <w:spacing w:lineRule="auto" w:line="360" w:before="120" w:after="0"/>
      <w:ind w:left="1400" w:hanging="200"/>
    </w:pPr>
    <w:rPr>
      <w:rFonts w:ascii="Arial" w:hAnsi="Arial"/>
      <w:lang w:val="en-US" w:eastAsia="en-US"/>
    </w:rPr>
  </w:style>
  <w:style w:type="paragraph" w:styleId="Style25" w:customStyle="1">
    <w:name w:val="Текст"/>
    <w:basedOn w:val="Normal"/>
    <w:qFormat/>
    <w:pPr>
      <w:spacing w:lineRule="auto" w:line="360"/>
    </w:pPr>
    <w:rPr>
      <w:rFonts w:ascii="Arial" w:hAnsi="Arial"/>
      <w:szCs w:val="20"/>
    </w:rPr>
  </w:style>
  <w:style w:type="paragraph" w:styleId="Style26" w:customStyle="1">
    <w:name w:val="Знак Знак Знак Знак"/>
    <w:basedOn w:val="Normal"/>
    <w:qFormat/>
    <w:pPr>
      <w:spacing w:lineRule="exact" w:line="240" w:before="0" w:after="160"/>
    </w:pPr>
    <w:rPr>
      <w:rFonts w:ascii="Verdana" w:hAnsi="Verdana" w:cs="Verdana"/>
      <w:sz w:val="20"/>
      <w:szCs w:val="20"/>
      <w:lang w:val="en-US" w:eastAsia="en-US"/>
    </w:rPr>
  </w:style>
  <w:style w:type="paragraph" w:styleId="Style27" w:customStyle="1">
    <w:name w:val="Знак"/>
    <w:basedOn w:val="Normal"/>
    <w:qFormat/>
    <w:pPr>
      <w:tabs>
        <w:tab w:val="clear" w:pos="720"/>
        <w:tab w:val="left" w:pos="360" w:leader="none"/>
      </w:tabs>
      <w:spacing w:lineRule="exact" w:line="240" w:before="0" w:after="160"/>
    </w:pPr>
    <w:rPr>
      <w:rFonts w:ascii="Verdana" w:hAnsi="Verdana" w:cs="Verdana"/>
      <w:sz w:val="20"/>
      <w:szCs w:val="20"/>
      <w:lang w:val="en-US" w:eastAsia="en-US"/>
    </w:rPr>
  </w:style>
  <w:style w:type="paragraph" w:styleId="BodyText2">
    <w:name w:val="Body Text 2"/>
    <w:basedOn w:val="Normal"/>
    <w:link w:val="21"/>
    <w:qFormat/>
    <w:pPr>
      <w:tabs>
        <w:tab w:val="clear" w:pos="720"/>
        <w:tab w:val="left" w:pos="360" w:leader="none"/>
      </w:tabs>
      <w:spacing w:lineRule="auto" w:line="360"/>
    </w:pPr>
    <w:rPr>
      <w:rFonts w:ascii="Arial CYR" w:hAnsi="Arial CYR"/>
      <w:color w:val="000000"/>
    </w:rPr>
  </w:style>
  <w:style w:type="paragraph" w:styleId="Style28" w:customStyle="1">
    <w:name w:val="Основной текст без отступа"/>
    <w:basedOn w:val="BodyText"/>
    <w:qFormat/>
    <w:pPr>
      <w:keepLines/>
      <w:spacing w:before="120" w:after="120"/>
      <w:jc w:val="both"/>
    </w:pPr>
    <w:rPr>
      <w:rFonts w:ascii="Arial" w:hAnsi="Arial"/>
    </w:rPr>
  </w:style>
  <w:style w:type="paragraph" w:styleId="Text12" w:customStyle="1">
    <w:name w:val="Text12"/>
    <w:basedOn w:val="Style25"/>
    <w:qFormat/>
    <w:pPr/>
    <w:rPr/>
  </w:style>
  <w:style w:type="paragraph" w:styleId="-2" w:customStyle="1">
    <w:name w:val="Текст-Таблицы"/>
    <w:basedOn w:val="Normal"/>
    <w:qFormat/>
    <w:pPr>
      <w:spacing w:before="60" w:after="60"/>
    </w:pPr>
    <w:rPr>
      <w:rFonts w:ascii="Arial" w:hAnsi="Arial"/>
      <w:szCs w:val="20"/>
      <w:lang w:val="en-US" w:eastAsia="en-US"/>
    </w:rPr>
  </w:style>
  <w:style w:type="paragraph" w:styleId="Texttable" w:customStyle="1">
    <w:name w:val="Texttable"/>
    <w:basedOn w:val="Normal"/>
    <w:qFormat/>
    <w:pPr>
      <w:spacing w:before="80" w:after="80"/>
    </w:pPr>
    <w:rPr>
      <w:rFonts w:ascii="Arial" w:hAnsi="Arial"/>
      <w:bCs/>
      <w:sz w:val="22"/>
      <w:szCs w:val="20"/>
      <w:lang w:val="en-US" w:eastAsia="en-US"/>
    </w:rPr>
  </w:style>
  <w:style w:type="paragraph" w:styleId="122" w:customStyle="1">
    <w:name w:val="Текст 12 По ширине Обычный"/>
    <w:link w:val="12"/>
    <w:qFormat/>
    <w:pPr>
      <w:widowControl/>
      <w:suppressAutoHyphens w:val="true"/>
      <w:bidi w:val="0"/>
      <w:spacing w:before="240" w:after="60"/>
      <w:ind w:left="170" w:right="170" w:firstLine="680"/>
      <w:jc w:val="both"/>
    </w:pPr>
    <w:rPr>
      <w:rFonts w:ascii="Arial" w:hAnsi="Arial" w:eastAsia="Noto Serif CJK SC" w:cs="Arial Unicode MS"/>
      <w:color w:val="000000"/>
      <w:kern w:val="0"/>
      <w:sz w:val="24"/>
      <w:szCs w:val="24"/>
      <w:lang w:val="ru-RU" w:eastAsia="en-US" w:bidi="ar-SA"/>
    </w:rPr>
  </w:style>
  <w:style w:type="paragraph" w:styleId="123" w:customStyle="1">
    <w:name w:val="Список маркированный 12 Слева Обычный"/>
    <w:basedOn w:val="122"/>
    <w:qFormat/>
    <w:pPr>
      <w:numPr>
        <w:ilvl w:val="0"/>
        <w:numId w:val="4"/>
      </w:numPr>
      <w:tabs>
        <w:tab w:val="clear" w:pos="720"/>
        <w:tab w:val="left" w:pos="289" w:leader="none"/>
      </w:tabs>
      <w:spacing w:before="60" w:after="60"/>
      <w:ind w:left="0" w:right="170" w:firstLine="288"/>
      <w:contextualSpacing/>
      <w:jc w:val="left"/>
    </w:pPr>
    <w:rPr>
      <w:color w:val="auto"/>
    </w:rPr>
  </w:style>
  <w:style w:type="paragraph" w:styleId="22" w:customStyle="1">
    <w:name w:val="Знак2"/>
    <w:basedOn w:val="Normal"/>
    <w:qFormat/>
    <w:pPr>
      <w:keepLines/>
      <w:spacing w:lineRule="exact" w:line="240" w:before="0" w:after="160"/>
    </w:pPr>
    <w:rPr>
      <w:rFonts w:ascii="Verdana" w:hAnsi="Verdana" w:eastAsia="MS Mincho" w:cs="Franklin Gothic Book"/>
      <w:b/>
      <w:i/>
      <w:sz w:val="20"/>
      <w:szCs w:val="20"/>
      <w:lang w:val="en-US" w:eastAsia="en-US"/>
    </w:rPr>
  </w:style>
  <w:style w:type="paragraph" w:styleId="NoSpacing">
    <w:name w:val="No Spacing"/>
    <w:link w:val="Style9"/>
    <w:uiPriority w:val="1"/>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1211" w:customStyle="1">
    <w:name w:val="Табличный 12Ц1"/>
    <w:basedOn w:val="Normal"/>
    <w:qFormat/>
    <w:pPr>
      <w:jc w:val="center"/>
    </w:pPr>
    <w:rPr>
      <w:szCs w:val="20"/>
    </w:rPr>
  </w:style>
  <w:style w:type="paragraph" w:styleId="IndexHeading">
    <w:name w:val="Index Heading"/>
    <w:basedOn w:val="Style15"/>
    <w:pPr/>
    <w:rPr/>
  </w:style>
  <w:style w:type="paragraph" w:styleId="TOCHeading">
    <w:name w:val="TOC Heading"/>
    <w:basedOn w:val="Heading1"/>
    <w:next w:val="Normal"/>
    <w:uiPriority w:val="39"/>
    <w:semiHidden/>
    <w:unhideWhenUsed/>
    <w:qFormat/>
    <w:pPr>
      <w:pageBreakBefore w:val="false"/>
      <w:spacing w:lineRule="auto" w:line="276" w:before="480" w:after="0"/>
      <w:ind w:hanging="0"/>
      <w:jc w:val="left"/>
      <w:outlineLvl w:val="9"/>
    </w:pPr>
    <w:rPr>
      <w:rFonts w:ascii="Cambria" w:hAnsi="Cambria" w:eastAsia="Arial" w:cs="Arial" w:asciiTheme="majorHAnsi" w:cstheme="majorBidi" w:eastAsiaTheme="majorEastAsia" w:hAnsiTheme="majorHAnsi"/>
      <w:bCs/>
      <w:caps w:val="false"/>
      <w:smallCaps w:val="false"/>
      <w:color w:val="365F91" w:themeColor="accent1" w:themeShade="bf"/>
      <w:sz w:val="28"/>
      <w:szCs w:val="28"/>
      <w:lang w:eastAsia="en-US"/>
    </w:rPr>
  </w:style>
  <w:style w:type="paragraph" w:styleId="FORMATTEXT" w:customStyle="1">
    <w:name w:val=".FORMATTEXT"/>
    <w:uiPriority w:val="99"/>
    <w:qFormat/>
    <w:pPr>
      <w:widowControl w:val="false"/>
      <w:suppressAutoHyphens w:val="true"/>
      <w:bidi w:val="0"/>
      <w:spacing w:before="0" w:after="0"/>
      <w:jc w:val="left"/>
    </w:pPr>
    <w:rPr>
      <w:rFonts w:ascii="Arial" w:hAnsi="Arial" w:eastAsia="Arial" w:cs="Arial" w:eastAsiaTheme="minorEastAsia"/>
      <w:color w:val="auto"/>
      <w:kern w:val="0"/>
      <w:sz w:val="20"/>
      <w:szCs w:val="20"/>
      <w:lang w:val="ru-RU" w:eastAsia="ru-RU" w:bidi="ar-SA"/>
    </w:rPr>
  </w:style>
  <w:style w:type="paragraph" w:styleId="Annotationtext">
    <w:name w:val="annotation text"/>
    <w:basedOn w:val="Normal"/>
    <w:link w:val="Style12"/>
    <w:semiHidden/>
    <w:unhideWhenUsed/>
    <w:qFormat/>
    <w:pPr/>
    <w:rPr>
      <w:sz w:val="20"/>
      <w:szCs w:val="20"/>
    </w:rPr>
  </w:style>
  <w:style w:type="paragraph" w:styleId="Annotationsubject">
    <w:name w:val="annotation subject"/>
    <w:basedOn w:val="Annotationtext"/>
    <w:next w:val="Annotationtext"/>
    <w:link w:val="Style13"/>
    <w:semiHidden/>
    <w:unhideWhenUsed/>
    <w:qFormat/>
    <w:pPr/>
    <w:rPr>
      <w:b/>
      <w:bCs/>
    </w:rPr>
  </w:style>
  <w:style w:type="paragraph" w:styleId="ConsPlusTitlePage" w:customStyle="1">
    <w:name w:val="ConsPlusTitlePage"/>
    <w:qFormat/>
    <w:pPr>
      <w:keepNext w:val="false"/>
      <w:keepLines w:val="false"/>
      <w:pageBreakBefore w:val="false"/>
      <w:widowControl w:val="false"/>
      <w:shd w:val="nil"/>
      <w:suppressAutoHyphens w:val="true"/>
      <w:bidi w:val="0"/>
      <w:spacing w:lineRule="auto" w:line="240" w:beforeAutospacing="0" w:before="0" w:afterAutospacing="0" w:after="0"/>
      <w:ind w:left="0" w:right="0" w:hanging="0"/>
      <w:jc w:val="left"/>
    </w:pPr>
    <w:rPr>
      <w:rFonts w:ascii="Tahoma" w:hAnsi="Tahoma" w:eastAsia="Times New Roman" w:cs="Tahoma"/>
      <w:b w:val="false"/>
      <w:bCs w:val="false"/>
      <w:i w:val="false"/>
      <w:iCs w:val="false"/>
      <w:caps w:val="false"/>
      <w:smallCaps w:val="false"/>
      <w:strike w:val="false"/>
      <w:dstrike w:val="false"/>
      <w:vanish w:val="false"/>
      <w:color w:val="auto"/>
      <w:spacing w:val="0"/>
      <w:kern w:val="0"/>
      <w:position w:val="0"/>
      <w:sz w:val="20"/>
      <w:sz w:val="20"/>
      <w:szCs w:val="20"/>
      <w:u w:val="none"/>
      <w:vertAlign w:val="baseline"/>
      <w:lang w:val="ru-RU" w:eastAsia="zh-CN" w:bidi="ar-SA"/>
      <w14:ligatures w14:val="none"/>
    </w:rPr>
  </w:style>
  <w:style w:type="paragraph" w:styleId="-11" w:customStyle="1">
    <w:name w:val="Цветной список - Акцент 1"/>
    <w:uiPriority w:val="34"/>
    <w:qFormat/>
    <w:pPr>
      <w:keepNext w:val="false"/>
      <w:keepLines w:val="false"/>
      <w:pageBreakBefore w:val="false"/>
      <w:widowControl/>
      <w:shd w:val="nil"/>
      <w:suppressAutoHyphens w:val="true"/>
      <w:bidi w:val="0"/>
      <w:spacing w:lineRule="auto" w:line="276" w:beforeAutospacing="0" w:before="0" w:afterAutospacing="0" w:after="0"/>
      <w:ind w:left="720" w:right="0" w:hanging="0"/>
      <w:contextualSpacing/>
      <w:jc w:val="both"/>
    </w:pPr>
    <w:rPr>
      <w:rFonts w:ascii="Times New Roman" w:hAnsi="Times New Roman" w:eastAsia="Calibri" w:cs="Times New Roman"/>
      <w:b w:val="false"/>
      <w:bCs w:val="false"/>
      <w:i w:val="false"/>
      <w:iCs w:val="false"/>
      <w:caps w:val="false"/>
      <w:smallCaps w:val="false"/>
      <w:strike w:val="false"/>
      <w:dstrike w:val="false"/>
      <w:vanish w:val="false"/>
      <w:color w:val="auto"/>
      <w:spacing w:val="0"/>
      <w:kern w:val="0"/>
      <w:position w:val="0"/>
      <w:sz w:val="24"/>
      <w:sz w:val="24"/>
      <w:szCs w:val="22"/>
      <w:u w:val="none"/>
      <w:vertAlign w:val="baseline"/>
      <w:lang w:val="ru-RU" w:eastAsia="en-US" w:bidi="ar-SA"/>
      <w14:ligatures w14:val="none"/>
    </w:rPr>
  </w:style>
  <w:style w:type="paragraph" w:styleId="Style29">
    <w:name w:val="Содержимое таблицы"/>
    <w:basedOn w:val="Normal"/>
    <w:qFormat/>
    <w:pPr>
      <w:widowControl w:val="false"/>
      <w:suppressLineNumbers/>
    </w:pPr>
    <w:rPr/>
  </w:style>
  <w:style w:type="paragraph" w:styleId="Style30">
    <w:name w:val="Заголовок таблицы"/>
    <w:basedOn w:val="Style29"/>
    <w:qFormat/>
    <w:pPr>
      <w:suppressLineNumbers/>
      <w:jc w:val="center"/>
    </w:pPr>
    <w:rPr>
      <w:b/>
      <w:bCs/>
    </w:rPr>
  </w:style>
  <w:style w:type="numbering" w:styleId="NoList" w:default="1">
    <w:name w:val="No List"/>
    <w:uiPriority w:val="99"/>
    <w:semiHidden/>
    <w:unhideWhenUsed/>
    <w:qFormat/>
  </w:style>
  <w:style w:type="numbering" w:styleId="Style31" w:customStyle="1">
    <w:name w:val="Многоуровневый"/>
    <w:qFormat/>
  </w:style>
  <w:style w:type="numbering" w:styleId="OutlineList2">
    <w:name w:val="Outline List 2"/>
    <w:qFormat/>
  </w:style>
  <w:style w:type="numbering" w:styleId="Style32" w:customStyle="1">
    <w:name w:val="Список приложений"/>
    <w:qFormat/>
  </w:style>
  <w:style w:type="numbering" w:styleId="181" w:customStyle="1">
    <w:name w:val="Стиль многоуровневый 18 пт полужирный все прописные Первая стро..."/>
    <w:qFormat/>
  </w:style>
  <w:style w:type="numbering" w:styleId="182" w:customStyle="1">
    <w:name w:val="Стиль Стиль многоуровневый 18 пт полужирный все прописные Первая ст..."/>
    <w:qFormat/>
  </w:style>
  <w:style w:type="numbering" w:styleId="1811" w:customStyle="1">
    <w:name w:val="Стиль многоуровневый 18 пт полужирный все прописные Первая стро...1"/>
    <w:qFormat/>
  </w:style>
  <w:style w:type="numbering" w:styleId="1821" w:customStyle="1">
    <w:name w:val="Стиль многоуровневый 18 пт полужирный все прописные Первая стро...2"/>
    <w:qFormat/>
  </w:style>
  <w:style w:type="numbering" w:styleId="160" w:customStyle="1">
    <w:name w:val="Стиль многоуровневый 16 пт полужирный все прописные Слева:  0 с..."/>
    <w:qFormat/>
  </w:style>
  <w:style w:type="numbering" w:styleId="183" w:customStyle="1">
    <w:name w:val="Стиль многоуровневый 18 пт полужирный все прописные Первая стро...3"/>
    <w:qFormat/>
  </w:style>
  <w:style w:type="numbering" w:styleId="184" w:customStyle="1">
    <w:name w:val="Стиль многоуровневый 18 пт полужирный все прописные Первая стро...4"/>
    <w:qFormat/>
  </w:style>
  <w:style w:type="numbering" w:styleId="185" w:customStyle="1">
    <w:name w:val="Стиль многоуровневый 18 пт полужирный все прописные Первая стро...5"/>
    <w:qFormat/>
  </w:style>
  <w:style w:type="numbering" w:styleId="23" w:customStyle="1">
    <w:name w:val="Марк 2"/>
    <w:qFormat/>
  </w:style>
  <w:style w:type="table" w:styleId="884">
    <w:name w:val="Table Grid Light"/>
    <w:basedOn w:val="1009"/>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85">
    <w:name w:val="Plain Table 1"/>
    <w:basedOn w:val="1009"/>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0"/>
      </w:tcPr>
    </w:tblStylePr>
    <w:tblStylePr w:type="band1Vert">
      <w:tblPr/>
      <w:tcPr>
        <w:shd w:val="clear" w:color="FFFFFF" w:fill="F2F2F2" w:themeFill="text1" w:themeFillTint="0"/>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886">
    <w:name w:val="Plain Table 2"/>
    <w:basedOn w:val="1009"/>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887">
    <w:name w:val="Plain Table 3"/>
    <w:basedOn w:val="1009"/>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0"/>
      </w:tcPr>
    </w:tblStylePr>
    <w:tblStylePr w:type="band1Vert">
      <w:rPr>
        <w:color w:val="404040"/>
        <w:sz w:val="22"/>
      </w:rPr>
      <w:tblPr/>
      <w:tcPr>
        <w:shd w:val="clear" w:color="FFFFFF" w:fill="F2F2F2" w:themeFill="text1" w:themeFillTint="0"/>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888">
    <w:name w:val="Plain Table 4"/>
    <w:basedOn w:val="1009"/>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0"/>
      </w:tcPr>
    </w:tblStylePr>
    <w:tblStylePr w:type="band1Vert">
      <w:rPr>
        <w:color w:val="404040"/>
        <w:sz w:val="22"/>
      </w:rPr>
      <w:tblPr/>
      <w:tcPr>
        <w:shd w:val="clear" w:color="FFFFFF" w:fill="F2F2F2" w:themeFill="text1" w:themeFillTint="0"/>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889">
    <w:name w:val="Plain Table 5"/>
    <w:basedOn w:val="1009"/>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0"/>
      </w:tcPr>
    </w:tblStylePr>
    <w:tblStylePr w:type="band1Vert">
      <w:rPr>
        <w:color w:val="404040"/>
        <w:sz w:val="22"/>
      </w:rPr>
      <w:tblPr/>
      <w:tcPr>
        <w:shd w:val="clear" w:color="FFFFFF" w:fill="F2F2F2" w:themeFill="text1" w:themeFillTint="0"/>
      </w:tcPr>
    </w:tblStylePr>
    <w:tblStylePr w:type="firstCol">
      <w:pPr>
        <w:jc w:val="right"/>
      </w:pPr>
      <w:rPr>
        <w:i/>
        <w:color w:val="404040"/>
      </w:rPr>
      <w:tblPr/>
      <w:tcPr>
        <w:tcBorders>
          <w:right w:val="single" w:color="404040" w:sz="4" w:space="0"/>
        </w:tcBorders>
        <w:shd w:val="clear" w:color="FFFFFF"/>
      </w:tcPr>
    </w:tblStylePr>
    <w:tblStylePr w:type="firstRow">
      <w:rPr>
        <w:i/>
        <w:color w:val="404040"/>
      </w:rPr>
      <w:tblPr/>
      <w:tcPr>
        <w:tcBorders>
          <w:left w:val="none" w:color="000000" w:sz="4" w:space="0"/>
          <w:bottom w:val="single" w:color="404040" w:sz="4" w:space="0"/>
          <w:right w:val="none" w:color="000000" w:sz="4" w:space="0"/>
        </w:tcBorders>
        <w:shd w:val="clear" w:color="FFFFFF"/>
      </w:tcPr>
    </w:tblStylePr>
    <w:tblStylePr w:type="lastCol">
      <w:rPr>
        <w:i/>
        <w:color w:val="404040"/>
      </w:rPr>
      <w:tblPr/>
      <w:tcPr>
        <w:tcBorders>
          <w:left w:val="single" w:color="404040" w:sz="4" w:space="0"/>
        </w:tcBorders>
        <w:shd w:val="clear" w:color="FFFFFF"/>
      </w:tcPr>
    </w:tblStylePr>
    <w:tblStylePr w:type="lastRow">
      <w:rPr>
        <w:i/>
        <w:color w:val="404040"/>
      </w:rPr>
      <w:tblPr/>
      <w:tcPr>
        <w:tcBorders>
          <w:top w:val="single" w:color="404040" w:sz="4" w:space="0"/>
          <w:left w:val="none" w:color="000000" w:sz="4" w:space="0"/>
          <w:right w:val="none" w:color="000000" w:sz="4" w:space="0"/>
        </w:tcBorders>
        <w:shd w:val="clear" w:color="FFFFFF"/>
      </w:tcPr>
    </w:tblStylePr>
  </w:style>
  <w:style w:type="table" w:styleId="890">
    <w:name w:val="Grid Table 1 Light"/>
    <w:basedOn w:val="1009"/>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891">
    <w:name w:val="Grid Table 1 Light - Accent 1"/>
    <w:basedOn w:val="1009"/>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Pr/>
    </w:tblStylePr>
    <w:tblStylePr w:type="firstRow">
      <w:rPr>
        <w:b/>
        <w:color w:val="404040"/>
      </w:rPr>
      <w:tblPr/>
      <w:tcPr>
        <w:tcBorders>
          <w:bottom w:val="single" w:color="000000" w:themeColor="accent1" w:sz="12" w:space="0"/>
        </w:tcBorders>
      </w:tcPr>
    </w:tblStylePr>
    <w:tblStylePr w:type="lastCol">
      <w:rPr>
        <w:b/>
        <w:color w:val="404040"/>
      </w:rPr>
      <w:tblPr/>
    </w:tblStylePr>
    <w:tblStylePr w:type="lastRow">
      <w:rPr>
        <w:b/>
        <w:color w:val="404040"/>
      </w:rPr>
      <w:tblPr/>
    </w:tblStylePr>
  </w:style>
  <w:style w:type="table" w:styleId="892">
    <w:name w:val="Grid Table 1 Light - Accent 2"/>
    <w:basedOn w:val="1009"/>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Pr/>
    </w:tblStylePr>
    <w:tblStylePr w:type="firstRow">
      <w:rPr>
        <w:b/>
        <w:color w:val="404040"/>
      </w:rPr>
      <w:tblPr/>
      <w:tcPr>
        <w:tcBorders>
          <w:bottom w:val="single" w:color="000000" w:themeColor="accent2" w:sz="12" w:space="0"/>
        </w:tcBorders>
      </w:tcPr>
    </w:tblStylePr>
    <w:tblStylePr w:type="lastCol">
      <w:rPr>
        <w:b/>
        <w:color w:val="404040"/>
      </w:rPr>
      <w:tblPr/>
    </w:tblStylePr>
    <w:tblStylePr w:type="lastRow">
      <w:rPr>
        <w:b/>
        <w:color w:val="404040"/>
      </w:rPr>
      <w:tblPr/>
    </w:tblStylePr>
  </w:style>
  <w:style w:type="table" w:styleId="893">
    <w:name w:val="Grid Table 1 Light - Accent 3"/>
    <w:basedOn w:val="1009"/>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Pr/>
    </w:tblStylePr>
    <w:tblStylePr w:type="firstRow">
      <w:rPr>
        <w:b/>
        <w:color w:val="404040"/>
      </w:rPr>
      <w:tblPr/>
      <w:tcPr>
        <w:tcBorders>
          <w:bottom w:val="single" w:color="000000" w:themeColor="accent3" w:sz="12" w:space="0"/>
        </w:tcBorders>
      </w:tcPr>
    </w:tblStylePr>
    <w:tblStylePr w:type="lastCol">
      <w:rPr>
        <w:b/>
        <w:color w:val="404040"/>
      </w:rPr>
      <w:tblPr/>
    </w:tblStylePr>
    <w:tblStylePr w:type="lastRow">
      <w:rPr>
        <w:b/>
        <w:color w:val="404040"/>
      </w:rPr>
      <w:tblPr/>
    </w:tblStylePr>
  </w:style>
  <w:style w:type="table" w:styleId="894">
    <w:name w:val="Grid Table 1 Light - Accent 4"/>
    <w:basedOn w:val="1009"/>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Pr/>
    </w:tblStylePr>
    <w:tblStylePr w:type="firstRow">
      <w:rPr>
        <w:b/>
        <w:color w:val="404040"/>
      </w:rPr>
      <w:tblPr/>
      <w:tcPr>
        <w:tcBorders>
          <w:bottom w:val="single" w:color="000000" w:themeColor="accent4" w:sz="12" w:space="0"/>
        </w:tcBorders>
      </w:tcPr>
    </w:tblStylePr>
    <w:tblStylePr w:type="lastCol">
      <w:rPr>
        <w:b/>
        <w:color w:val="404040"/>
      </w:rPr>
      <w:tblPr/>
    </w:tblStylePr>
    <w:tblStylePr w:type="lastRow">
      <w:rPr>
        <w:b/>
        <w:color w:val="404040"/>
      </w:rPr>
      <w:tblPr/>
    </w:tblStylePr>
  </w:style>
  <w:style w:type="table" w:styleId="895">
    <w:name w:val="Grid Table 1 Light - Accent 5"/>
    <w:basedOn w:val="1009"/>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Pr/>
    </w:tblStylePr>
    <w:tblStylePr w:type="firstRow">
      <w:rPr>
        <w:b/>
        <w:color w:val="404040"/>
      </w:rPr>
      <w:tblPr/>
      <w:tcPr>
        <w:tcBorders>
          <w:bottom w:val="single" w:color="000000" w:themeColor="accent5" w:sz="12" w:space="0"/>
        </w:tcBorders>
      </w:tcPr>
    </w:tblStylePr>
    <w:tblStylePr w:type="lastCol">
      <w:rPr>
        <w:b/>
        <w:color w:val="404040"/>
      </w:rPr>
      <w:tblPr/>
    </w:tblStylePr>
    <w:tblStylePr w:type="lastRow">
      <w:rPr>
        <w:b/>
        <w:color w:val="404040"/>
      </w:rPr>
      <w:tblPr/>
    </w:tblStylePr>
  </w:style>
  <w:style w:type="table" w:styleId="896">
    <w:name w:val="Grid Table 1 Light - Accent 6"/>
    <w:basedOn w:val="1009"/>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Pr/>
    </w:tblStylePr>
    <w:tblStylePr w:type="firstRow">
      <w:rPr>
        <w:b/>
        <w:color w:val="404040"/>
      </w:rPr>
      <w:tblPr/>
      <w:tcPr>
        <w:tcBorders>
          <w:bottom w:val="single" w:color="000000" w:themeColor="accent6" w:sz="12" w:space="0"/>
        </w:tcBorders>
      </w:tcPr>
    </w:tblStylePr>
    <w:tblStylePr w:type="lastCol">
      <w:rPr>
        <w:b/>
        <w:color w:val="404040"/>
      </w:rPr>
      <w:tblPr/>
    </w:tblStylePr>
    <w:tblStylePr w:type="lastRow">
      <w:rPr>
        <w:b/>
        <w:color w:val="404040"/>
      </w:rPr>
      <w:tblPr/>
    </w:tblStylePr>
  </w:style>
  <w:style w:type="table" w:styleId="897">
    <w:name w:val="Grid Table 2"/>
    <w:basedOn w:val="1009"/>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898">
    <w:name w:val="Grid Table 2 - Accent 1"/>
    <w:basedOn w:val="1009"/>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AE5F1" w:themeFill="accent1" w:themeFillTint="34"/>
      </w:tcPr>
    </w:tblStylePr>
    <w:tblStylePr w:type="band1Vert">
      <w:rPr>
        <w:color w:val="404040"/>
        <w:sz w:val="22"/>
      </w:rPr>
      <w:tblPr/>
      <w:tcPr>
        <w:shd w:val="clear" w:color="FFFFFF"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899">
    <w:name w:val="Grid Table 2 - Accent 2"/>
    <w:basedOn w:val="1009"/>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900">
    <w:name w:val="Grid Table 2 - Accent 3"/>
    <w:basedOn w:val="1009"/>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901">
    <w:name w:val="Grid Table 2 - Accent 4"/>
    <w:basedOn w:val="1009"/>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902">
    <w:name w:val="Grid Table 2 - Accent 5"/>
    <w:basedOn w:val="1009"/>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903">
    <w:name w:val="Grid Table 2 - Accent 6"/>
    <w:basedOn w:val="1009"/>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904">
    <w:name w:val="Grid Table 3"/>
    <w:basedOn w:val="1009"/>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05">
    <w:name w:val="Grid Table 3 - Accent 1"/>
    <w:basedOn w:val="1009"/>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AE5F1" w:themeFill="accent1" w:themeFillTint="34"/>
      </w:tcPr>
    </w:tblStylePr>
    <w:tblStylePr w:type="band1Vert">
      <w:rPr>
        <w:color w:val="404040"/>
        <w:sz w:val="22"/>
      </w:rPr>
      <w:tblPr/>
      <w:tcPr>
        <w:shd w:val="clear" w:color="FFFFFF"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06">
    <w:name w:val="Grid Table 3 - Accent 2"/>
    <w:basedOn w:val="1009"/>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07">
    <w:name w:val="Grid Table 3 - Accent 3"/>
    <w:basedOn w:val="1009"/>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08">
    <w:name w:val="Grid Table 3 - Accent 4"/>
    <w:basedOn w:val="1009"/>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09">
    <w:name w:val="Grid Table 3 - Accent 5"/>
    <w:basedOn w:val="1009"/>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10">
    <w:name w:val="Grid Table 3 - Accent 6"/>
    <w:basedOn w:val="1009"/>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11">
    <w:name w:val="Grid Table 4"/>
    <w:basedOn w:val="1009"/>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912">
    <w:name w:val="Grid Table 4 - Accent 1"/>
    <w:basedOn w:val="1009"/>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blPr/>
      <w:tcPr>
        <w:shd w:val="clear" w:color="FFFFFF" w:fill="DCE6F1" w:themeFill="accent1" w:themeFillTint="32"/>
      </w:tcPr>
    </w:tblStylePr>
    <w:tblStylePr w:type="band1Vert">
      <w:rPr>
        <w:color w:val="404040"/>
        <w:sz w:val="22"/>
      </w:rPr>
      <w:tblPr/>
      <w:tcPr>
        <w:shd w:val="clear" w:color="FFFFFF" w:fill="DCE6F1" w:themeFill="accent1" w:themeFillTint="32"/>
      </w:tcPr>
    </w:tblStylePr>
    <w:tblStylePr w:type="firstCol">
      <w:rPr>
        <w:b/>
        <w:color w:val="404040"/>
      </w:rPr>
      <w:tblPr/>
    </w:tblStylePr>
    <w:tblStylePr w:type="firstRow">
      <w:rPr>
        <w:b/>
        <w:color w:val="FFFFFF"/>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DC2" w:themeFill="accent1" w:themeFillTint="ea"/>
      </w:tcPr>
    </w:tblStylePr>
    <w:tblStylePr w:type="lastCol">
      <w:rPr>
        <w:b/>
        <w:color w:val="404040"/>
      </w:rPr>
      <w:tblPr/>
    </w:tblStylePr>
    <w:tblStylePr w:type="lastRow">
      <w:rPr>
        <w:b/>
        <w:color w:val="404040"/>
      </w:rPr>
      <w:tblPr/>
      <w:tcPr>
        <w:tcBorders>
          <w:top w:val="single" w:color="000000" w:themeColor="accent1" w:sz="4" w:space="0"/>
        </w:tcBorders>
      </w:tcPr>
    </w:tblStylePr>
  </w:style>
  <w:style w:type="table" w:styleId="913">
    <w:name w:val="Grid Table 4 - Accent 2"/>
    <w:basedOn w:val="1009"/>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rPr>
        <w:b/>
        <w:color w:val="404040"/>
      </w:rPr>
      <w:tblPr/>
    </w:tblStylePr>
    <w:tblStylePr w:type="firstRow">
      <w:rPr>
        <w:b/>
        <w:color w:val="FFFFFF"/>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99694" w:themeFill="accent2" w:themeFillTint="97"/>
      </w:tcPr>
    </w:tblStylePr>
    <w:tblStylePr w:type="lastCol">
      <w:rPr>
        <w:b/>
        <w:color w:val="404040"/>
      </w:rPr>
      <w:tblPr/>
    </w:tblStylePr>
    <w:tblStylePr w:type="lastRow">
      <w:rPr>
        <w:b/>
        <w:color w:val="404040"/>
      </w:rPr>
      <w:tblPr/>
      <w:tcPr>
        <w:tcBorders>
          <w:top w:val="single" w:color="000000" w:themeColor="accent2" w:sz="4" w:space="0"/>
        </w:tcBorders>
      </w:tcPr>
    </w:tblStylePr>
  </w:style>
  <w:style w:type="table" w:styleId="914">
    <w:name w:val="Grid Table 4 - Accent 3"/>
    <w:basedOn w:val="1009"/>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rPr>
        <w:b/>
        <w:color w:val="404040"/>
      </w:rPr>
      <w:tblPr/>
    </w:tblStylePr>
    <w:tblStylePr w:type="firstRow">
      <w:rPr>
        <w:b/>
        <w:color w:val="FFFFFF"/>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A59" w:themeFill="accent3" w:themeFillTint="fe"/>
      </w:tcPr>
    </w:tblStylePr>
    <w:tblStylePr w:type="lastCol">
      <w:rPr>
        <w:b/>
        <w:color w:val="404040"/>
      </w:rPr>
      <w:tblPr/>
    </w:tblStylePr>
    <w:tblStylePr w:type="lastRow">
      <w:rPr>
        <w:b/>
        <w:color w:val="404040"/>
      </w:rPr>
      <w:tblPr/>
      <w:tcPr>
        <w:tcBorders>
          <w:top w:val="single" w:color="000000" w:themeColor="accent3" w:sz="4" w:space="0"/>
        </w:tcBorders>
      </w:tcPr>
    </w:tblStylePr>
  </w:style>
  <w:style w:type="table" w:styleId="915">
    <w:name w:val="Grid Table 4 - Accent 4"/>
    <w:basedOn w:val="1009"/>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rPr>
        <w:b/>
        <w:color w:val="404040"/>
      </w:rPr>
      <w:tblPr/>
    </w:tblStylePr>
    <w:tblStylePr w:type="firstRow">
      <w:rPr>
        <w:b/>
        <w:color w:val="FFFFFF"/>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6" w:themeFill="accent4" w:themeFillTint="9a"/>
      </w:tcPr>
    </w:tblStylePr>
    <w:tblStylePr w:type="lastCol">
      <w:rPr>
        <w:b/>
        <w:color w:val="404040"/>
      </w:rPr>
      <w:tblPr/>
    </w:tblStylePr>
    <w:tblStylePr w:type="lastRow">
      <w:rPr>
        <w:b/>
        <w:color w:val="404040"/>
      </w:rPr>
      <w:tblPr/>
      <w:tcPr>
        <w:tcBorders>
          <w:top w:val="single" w:color="000000" w:themeColor="accent4" w:sz="4" w:space="0"/>
        </w:tcBorders>
      </w:tcPr>
    </w:tblStylePr>
  </w:style>
  <w:style w:type="table" w:styleId="916">
    <w:name w:val="Grid Table 4 - Accent 5"/>
    <w:basedOn w:val="1009"/>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rPr>
        <w:b/>
        <w:color w:val="404040"/>
      </w:rPr>
      <w:tblPr/>
    </w:tblStylePr>
    <w:tblStylePr w:type="firstRow">
      <w:rPr>
        <w:b/>
        <w:color w:val="FFFFFF"/>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rPr>
        <w:b/>
        <w:color w:val="404040"/>
      </w:rPr>
      <w:tblPr/>
    </w:tblStylePr>
    <w:tblStylePr w:type="lastRow">
      <w:rPr>
        <w:b/>
        <w:color w:val="404040"/>
      </w:rPr>
      <w:tblPr/>
      <w:tcPr>
        <w:tcBorders>
          <w:top w:val="single" w:color="000000" w:themeColor="accent5" w:sz="4" w:space="0"/>
        </w:tcBorders>
      </w:tcPr>
    </w:tblStylePr>
  </w:style>
  <w:style w:type="table" w:styleId="917">
    <w:name w:val="Grid Table 4 - Accent 6"/>
    <w:basedOn w:val="1009"/>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rPr>
        <w:b/>
        <w:color w:val="404040"/>
      </w:rPr>
      <w:tblPr/>
    </w:tblStylePr>
    <w:tblStylePr w:type="firstRow">
      <w:rPr>
        <w:b/>
        <w:color w:val="FFFFFF"/>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rPr>
        <w:b/>
        <w:color w:val="404040"/>
      </w:rPr>
      <w:tblPr/>
    </w:tblStylePr>
    <w:tblStylePr w:type="lastRow">
      <w:rPr>
        <w:b/>
        <w:color w:val="404040"/>
      </w:rPr>
      <w:tblPr/>
      <w:tcPr>
        <w:tcBorders>
          <w:top w:val="single" w:color="000000" w:themeColor="accent6" w:sz="4" w:space="0"/>
        </w:tcBorders>
      </w:tcPr>
    </w:tblStylePr>
  </w:style>
  <w:style w:type="table" w:styleId="918">
    <w:name w:val="Grid Table 5 Dark"/>
    <w:basedOn w:val="1009"/>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000000" w:themeColor="light1" w:sz="4" w:space="0"/>
        </w:tcBorders>
        <w:shd w:val="clear" w:color="FFFFFF" w:fill="000000" w:themeFill="text1"/>
      </w:tcPr>
    </w:tblStylePr>
  </w:style>
  <w:style w:type="table" w:styleId="919">
    <w:name w:val="Grid Table 5 Dark- Accent 1"/>
    <w:basedOn w:val="1009"/>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DC5E0" w:themeFill="accent1" w:themeFillTint="75"/>
      </w:tcPr>
    </w:tblStylePr>
    <w:tblStylePr w:type="band1Vert">
      <w:tblPr/>
      <w:tcPr>
        <w:shd w:val="clear" w:color="FFFFFF" w:fill="ADC5E0" w:themeFill="accent1" w:themeFillTint="75"/>
      </w:tcPr>
    </w:tblStylePr>
    <w:tblStylePr w:type="firstCol">
      <w:rPr>
        <w:b/>
        <w:color w:val="FFFFFF"/>
        <w:sz w:val="22"/>
      </w:rPr>
      <w:tblPr/>
      <w:tcPr>
        <w:shd w:val="clear" w:color="FFFFFF" w:fill="4F81BD" w:themeFill="accent1"/>
      </w:tcPr>
    </w:tblStylePr>
    <w:tblStylePr w:type="firstRow">
      <w:rPr>
        <w:b/>
        <w:color w:val="FFFFFF"/>
        <w:sz w:val="22"/>
      </w:rPr>
      <w:tblPr/>
      <w:tcPr>
        <w:shd w:val="clear" w:color="FFFFFF" w:fill="4F81BD" w:themeFill="accent1"/>
      </w:tcPr>
    </w:tblStylePr>
    <w:tblStylePr w:type="lastCol">
      <w:rPr>
        <w:b/>
        <w:color w:val="FFFFFF"/>
        <w:sz w:val="22"/>
      </w:rPr>
      <w:tblPr/>
      <w:tcPr>
        <w:shd w:val="clear" w:color="FFFFFF" w:fill="4F81BD" w:themeFill="accent1"/>
      </w:tcPr>
    </w:tblStylePr>
    <w:tblStylePr w:type="lastRow">
      <w:rPr>
        <w:b/>
        <w:color w:val="FFFFFF"/>
        <w:sz w:val="22"/>
      </w:rPr>
      <w:tblPr/>
      <w:tcPr>
        <w:tcBorders>
          <w:top w:val="single" w:color="000000" w:themeColor="light1" w:sz="4" w:space="0"/>
        </w:tcBorders>
        <w:shd w:val="clear" w:color="FFFFFF" w:fill="4F81BD" w:themeFill="accent1"/>
      </w:tcPr>
    </w:tblStylePr>
  </w:style>
  <w:style w:type="table" w:styleId="920">
    <w:name w:val="Grid Table 5 Dark - Accent 2"/>
    <w:basedOn w:val="1009"/>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E1ADAC" w:themeFill="accent2" w:themeFillTint="75"/>
      </w:tcPr>
    </w:tblStylePr>
    <w:tblStylePr w:type="band1Vert">
      <w:tblPr/>
      <w:tcPr>
        <w:shd w:val="clear" w:color="FFFFFF" w:fill="E1ADAC" w:themeFill="accent2" w:themeFillTint="75"/>
      </w:tcPr>
    </w:tblStylePr>
    <w:tblStylePr w:type="firstCol">
      <w:rPr>
        <w:b/>
        <w:color w:val="FFFFFF"/>
        <w:sz w:val="22"/>
      </w:rPr>
      <w:tblPr/>
      <w:tcPr>
        <w:shd w:val="clear" w:color="FFFFFF" w:fill="C0504D" w:themeFill="accent2"/>
      </w:tcPr>
    </w:tblStylePr>
    <w:tblStylePr w:type="firstRow">
      <w:rPr>
        <w:b/>
        <w:color w:val="FFFFFF"/>
        <w:sz w:val="22"/>
      </w:rPr>
      <w:tblPr/>
      <w:tcPr>
        <w:shd w:val="clear" w:color="FFFFFF" w:fill="C0504D" w:themeFill="accent2"/>
      </w:tcPr>
    </w:tblStylePr>
    <w:tblStylePr w:type="lastCol">
      <w:rPr>
        <w:b/>
        <w:color w:val="FFFFFF"/>
        <w:sz w:val="22"/>
      </w:rPr>
      <w:tblPr/>
      <w:tcPr>
        <w:shd w:val="clear" w:color="FFFFFF" w:fill="C0504D" w:themeFill="accent2"/>
      </w:tcPr>
    </w:tblStylePr>
    <w:tblStylePr w:type="lastRow">
      <w:rPr>
        <w:b/>
        <w:color w:val="FFFFFF"/>
        <w:sz w:val="22"/>
      </w:rPr>
      <w:tblPr/>
      <w:tcPr>
        <w:tcBorders>
          <w:top w:val="single" w:color="000000" w:themeColor="light1" w:sz="4" w:space="0"/>
        </w:tcBorders>
        <w:shd w:val="clear" w:color="FFFFFF" w:fill="C0504D" w:themeFill="accent2"/>
      </w:tcPr>
    </w:tblStylePr>
  </w:style>
  <w:style w:type="table" w:styleId="921">
    <w:name w:val="Grid Table 5 Dark - Accent 3"/>
    <w:basedOn w:val="1009"/>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1DFB2" w:themeFill="accent3" w:themeFillTint="75"/>
      </w:tcPr>
    </w:tblStylePr>
    <w:tblStylePr w:type="band1Vert">
      <w:tblPr/>
      <w:tcPr>
        <w:shd w:val="clear" w:color="FFFFFF" w:fill="D1DFB2" w:themeFill="accent3" w:themeFillTint="75"/>
      </w:tcPr>
    </w:tblStylePr>
    <w:tblStylePr w:type="firstCol">
      <w:rPr>
        <w:b/>
        <w:color w:val="FFFFFF"/>
        <w:sz w:val="22"/>
      </w:rPr>
      <w:tblPr/>
      <w:tcPr>
        <w:shd w:val="clear" w:color="FFFFFF" w:fill="9BBB59" w:themeFill="accent3"/>
      </w:tcPr>
    </w:tblStylePr>
    <w:tblStylePr w:type="firstRow">
      <w:rPr>
        <w:b/>
        <w:color w:val="FFFFFF"/>
        <w:sz w:val="22"/>
      </w:rPr>
      <w:tblPr/>
      <w:tcPr>
        <w:shd w:val="clear" w:color="FFFFFF" w:fill="9BBB59" w:themeFill="accent3"/>
      </w:tcPr>
    </w:tblStylePr>
    <w:tblStylePr w:type="lastCol">
      <w:rPr>
        <w:b/>
        <w:color w:val="FFFFFF"/>
        <w:sz w:val="22"/>
      </w:rPr>
      <w:tblPr/>
      <w:tcPr>
        <w:shd w:val="clear" w:color="FFFFFF" w:fill="9BBB59" w:themeFill="accent3"/>
      </w:tcPr>
    </w:tblStylePr>
    <w:tblStylePr w:type="lastRow">
      <w:rPr>
        <w:b/>
        <w:color w:val="FFFFFF"/>
        <w:sz w:val="22"/>
      </w:rPr>
      <w:tblPr/>
      <w:tcPr>
        <w:tcBorders>
          <w:top w:val="single" w:color="000000" w:themeColor="light1" w:sz="4" w:space="0"/>
        </w:tcBorders>
        <w:shd w:val="clear" w:color="FFFFFF" w:fill="9BBB59" w:themeFill="accent3"/>
      </w:tcPr>
    </w:tblStylePr>
  </w:style>
  <w:style w:type="table" w:styleId="922">
    <w:name w:val="Grid Table 5 Dark- Accent 4"/>
    <w:basedOn w:val="1009"/>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C4B7D4" w:themeFill="accent4" w:themeFillTint="75"/>
      </w:tcPr>
    </w:tblStylePr>
    <w:tblStylePr w:type="band1Vert">
      <w:tblPr/>
      <w:tcPr>
        <w:shd w:val="clear" w:color="FFFFFF" w:fill="C4B7D4" w:themeFill="accent4" w:themeFillTint="75"/>
      </w:tcPr>
    </w:tblStylePr>
    <w:tblStylePr w:type="firstCol">
      <w:rPr>
        <w:b/>
        <w:color w:val="FFFFFF"/>
        <w:sz w:val="22"/>
      </w:rPr>
      <w:tblPr/>
      <w:tcPr>
        <w:shd w:val="clear" w:color="FFFFFF" w:fill="8064A2" w:themeFill="accent4"/>
      </w:tcPr>
    </w:tblStylePr>
    <w:tblStylePr w:type="firstRow">
      <w:rPr>
        <w:b/>
        <w:color w:val="FFFFFF"/>
        <w:sz w:val="22"/>
      </w:rPr>
      <w:tblPr/>
      <w:tcPr>
        <w:shd w:val="clear" w:color="FFFFFF" w:fill="8064A2" w:themeFill="accent4"/>
      </w:tcPr>
    </w:tblStylePr>
    <w:tblStylePr w:type="lastCol">
      <w:rPr>
        <w:b/>
        <w:color w:val="FFFFFF"/>
        <w:sz w:val="22"/>
      </w:rPr>
      <w:tblPr/>
      <w:tcPr>
        <w:shd w:val="clear" w:color="FFFFFF" w:fill="8064A2" w:themeFill="accent4"/>
      </w:tcPr>
    </w:tblStylePr>
    <w:tblStylePr w:type="lastRow">
      <w:rPr>
        <w:b/>
        <w:color w:val="FFFFFF"/>
        <w:sz w:val="22"/>
      </w:rPr>
      <w:tblPr/>
      <w:tcPr>
        <w:tcBorders>
          <w:top w:val="single" w:color="000000" w:themeColor="light1" w:sz="4" w:space="0"/>
        </w:tcBorders>
        <w:shd w:val="clear" w:color="FFFFFF" w:fill="8064A2" w:themeFill="accent4"/>
      </w:tcPr>
    </w:tblStylePr>
  </w:style>
  <w:style w:type="table" w:styleId="923">
    <w:name w:val="Grid Table 5 Dark - Accent 5"/>
    <w:basedOn w:val="1009"/>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BD9E4" w:themeFill="accent5" w:themeFillTint="75"/>
      </w:tcPr>
    </w:tblStylePr>
    <w:tblStylePr w:type="band1Vert">
      <w:tblPr/>
      <w:tcPr>
        <w:shd w:val="clear" w:color="FFFFFF" w:fill="ABD9E4" w:themeFill="accent5" w:themeFillTint="75"/>
      </w:tcPr>
    </w:tblStylePr>
    <w:tblStylePr w:type="firstCol">
      <w:rPr>
        <w:b/>
        <w:color w:val="FFFFFF"/>
        <w:sz w:val="22"/>
      </w:rPr>
      <w:tblPr/>
      <w:tcPr>
        <w:shd w:val="clear" w:color="FFFFFF" w:fill="4BACC6" w:themeFill="accent5"/>
      </w:tcPr>
    </w:tblStylePr>
    <w:tblStylePr w:type="firstRow">
      <w:rPr>
        <w:b/>
        <w:color w:val="FFFFFF"/>
        <w:sz w:val="22"/>
      </w:rPr>
      <w:tblPr/>
      <w:tcPr>
        <w:shd w:val="clear" w:color="FFFFFF" w:fill="4BACC6" w:themeFill="accent5"/>
      </w:tcPr>
    </w:tblStylePr>
    <w:tblStylePr w:type="lastCol">
      <w:rPr>
        <w:b/>
        <w:color w:val="FFFFFF"/>
        <w:sz w:val="22"/>
      </w:rPr>
      <w:tblPr/>
      <w:tcPr>
        <w:shd w:val="clear" w:color="FFFFFF" w:fill="4BACC6" w:themeFill="accent5"/>
      </w:tcPr>
    </w:tblStylePr>
    <w:tblStylePr w:type="lastRow">
      <w:rPr>
        <w:b/>
        <w:color w:val="FFFFFF"/>
        <w:sz w:val="22"/>
      </w:rPr>
      <w:tblPr/>
      <w:tcPr>
        <w:tcBorders>
          <w:top w:val="single" w:color="000000" w:themeColor="light1" w:sz="4" w:space="0"/>
        </w:tcBorders>
        <w:shd w:val="clear" w:color="FFFFFF" w:fill="4BACC6" w:themeFill="accent5"/>
      </w:tcPr>
    </w:tblStylePr>
  </w:style>
  <w:style w:type="table" w:styleId="924">
    <w:name w:val="Grid Table 5 Dark - Accent 6"/>
    <w:basedOn w:val="1009"/>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BCDA8" w:themeFill="accent6" w:themeFillTint="75"/>
      </w:tcPr>
    </w:tblStylePr>
    <w:tblStylePr w:type="band1Vert">
      <w:tblPr/>
      <w:tcPr>
        <w:shd w:val="clear" w:color="FFFFFF" w:fill="FBCDA8" w:themeFill="accent6" w:themeFillTint="75"/>
      </w:tcPr>
    </w:tblStylePr>
    <w:tblStylePr w:type="firstCol">
      <w:rPr>
        <w:b/>
        <w:color w:val="FFFFFF"/>
        <w:sz w:val="22"/>
      </w:rPr>
      <w:tblPr/>
      <w:tcPr>
        <w:shd w:val="clear" w:color="FFFFFF" w:fill="F79646" w:themeFill="accent6"/>
      </w:tcPr>
    </w:tblStylePr>
    <w:tblStylePr w:type="firstRow">
      <w:rPr>
        <w:b/>
        <w:color w:val="FFFFFF"/>
        <w:sz w:val="22"/>
      </w:rPr>
      <w:tblPr/>
      <w:tcPr>
        <w:shd w:val="clear" w:color="FFFFFF" w:fill="F79646" w:themeFill="accent6"/>
      </w:tcPr>
    </w:tblStylePr>
    <w:tblStylePr w:type="lastCol">
      <w:rPr>
        <w:b/>
        <w:color w:val="FFFFFF"/>
        <w:sz w:val="22"/>
      </w:rPr>
      <w:tblPr/>
      <w:tcPr>
        <w:shd w:val="clear" w:color="FFFFFF" w:fill="F79646" w:themeFill="accent6"/>
      </w:tcPr>
    </w:tblStylePr>
    <w:tblStylePr w:type="lastRow">
      <w:rPr>
        <w:b/>
        <w:color w:val="FFFFFF"/>
        <w:sz w:val="22"/>
      </w:rPr>
      <w:tblPr/>
      <w:tcPr>
        <w:tcBorders>
          <w:top w:val="single" w:color="000000" w:themeColor="light1" w:sz="4" w:space="0"/>
        </w:tcBorders>
        <w:shd w:val="clear" w:color="FFFFFF" w:fill="F79646" w:themeFill="accent6"/>
      </w:tcPr>
    </w:tblStylePr>
  </w:style>
  <w:style w:type="table" w:styleId="925">
    <w:name w:val="Grid Table 6 Colorful"/>
    <w:basedOn w:val="1009"/>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04040" w:themeColor="text1" w:themeTint="80" w:themeShade="95"/>
        <w:sz w:val="22"/>
      </w:rPr>
      <w:tblPr/>
    </w:tblStylePr>
  </w:style>
  <w:style w:type="table" w:styleId="926">
    <w:name w:val="Grid Table 6 Colorful - Accent 1"/>
    <w:basedOn w:val="1009"/>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val="404040" w:themeColor="accent1" w:themeTint="80" w:themeShade="95"/>
        <w:sz w:val="22"/>
      </w:rPr>
      <w:tblPr/>
    </w:tblStylePr>
    <w:tblStylePr w:type="firstCol">
      <w:rPr>
        <w:b/>
        <w:color w:val="3E70A3" w:themeColor="accent1" w:themeTint="80" w:themeShade="95"/>
      </w:rPr>
      <w:tblPr/>
    </w:tblStylePr>
    <w:tblStylePr w:type="firstRow">
      <w:rPr>
        <w:b/>
        <w:color w:val="3E70A3" w:themeColor="accent1" w:themeTint="80" w:themeShade="95"/>
      </w:rPr>
      <w:tblPr/>
      <w:tcPr>
        <w:tcBorders>
          <w:bottom w:val="single" w:color="000000" w:themeColor="accent1" w:sz="12" w:space="0"/>
        </w:tcBorders>
      </w:tcPr>
    </w:tblStylePr>
    <w:tblStylePr w:type="lastCol">
      <w:rPr>
        <w:b/>
        <w:color w:val="3E70A3" w:themeColor="accent1" w:themeTint="80" w:themeShade="95"/>
      </w:rPr>
      <w:tblPr/>
    </w:tblStylePr>
    <w:tblStylePr w:type="lastRow">
      <w:rPr>
        <w:b/>
        <w:color w:val="3E70A3" w:themeColor="accent1" w:themeTint="80" w:themeShade="95"/>
      </w:rPr>
      <w:tblPr/>
    </w:tblStylePr>
    <w:tblStylePr w:type="wholeTable">
      <w:rPr>
        <w:color w:val="404040" w:themeColor="accent1" w:themeTint="80" w:themeShade="95"/>
        <w:sz w:val="22"/>
      </w:rPr>
      <w:tblPr/>
    </w:tblStylePr>
  </w:style>
  <w:style w:type="table" w:styleId="927">
    <w:name w:val="Grid Table 6 Colorful - Accent 2"/>
    <w:basedOn w:val="1009"/>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val="404040" w:themeColor="accent2" w:themeTint="97" w:themeShade="95"/>
        <w:sz w:val="22"/>
      </w:rPr>
      <w:tblPr/>
    </w:tblStylePr>
    <w:tblStylePr w:type="firstCol">
      <w:rPr>
        <w:b/>
        <w:color w:val="9C3A37" w:themeColor="accent2" w:themeTint="97" w:themeShade="95"/>
      </w:rPr>
      <w:tblPr/>
    </w:tblStylePr>
    <w:tblStylePr w:type="firstRow">
      <w:rPr>
        <w:b/>
        <w:color w:val="9C3A37" w:themeColor="accent2" w:themeTint="97" w:themeShade="95"/>
      </w:rPr>
      <w:tblPr/>
      <w:tcPr>
        <w:tcBorders>
          <w:bottom w:val="single" w:color="000000" w:themeColor="accent2" w:sz="12" w:space="0"/>
        </w:tcBorders>
      </w:tcPr>
    </w:tblStylePr>
    <w:tblStylePr w:type="lastCol">
      <w:rPr>
        <w:b/>
        <w:color w:val="9C3A37" w:themeColor="accent2" w:themeTint="97" w:themeShade="95"/>
      </w:rPr>
      <w:tblPr/>
    </w:tblStylePr>
    <w:tblStylePr w:type="lastRow">
      <w:rPr>
        <w:b/>
        <w:color w:val="9C3A37" w:themeColor="accent2" w:themeTint="97" w:themeShade="95"/>
      </w:rPr>
      <w:tblPr/>
    </w:tblStylePr>
    <w:tblStylePr w:type="wholeTable">
      <w:rPr>
        <w:color w:val="404040" w:themeColor="accent2" w:themeTint="97" w:themeShade="95"/>
        <w:sz w:val="22"/>
      </w:rPr>
      <w:tblPr/>
    </w:tblStylePr>
  </w:style>
  <w:style w:type="table" w:styleId="928">
    <w:name w:val="Grid Table 6 Colorful - Accent 3"/>
    <w:basedOn w:val="1009"/>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val="404040" w:themeColor="accent3" w:themeTint="fe" w:themeShade="95"/>
        <w:sz w:val="22"/>
      </w:rPr>
      <w:tblPr/>
    </w:tblStylePr>
    <w:tblStylePr w:type="firstCol">
      <w:rPr>
        <w:b/>
        <w:color w:val="5C702F" w:themeColor="accent3" w:themeTint="fe" w:themeShade="95"/>
      </w:rPr>
      <w:tblPr/>
    </w:tblStylePr>
    <w:tblStylePr w:type="firstRow">
      <w:rPr>
        <w:b/>
        <w:color w:val="5C702F" w:themeColor="accent3" w:themeTint="fe" w:themeShade="95"/>
      </w:rPr>
      <w:tblPr/>
      <w:tcPr>
        <w:tcBorders>
          <w:bottom w:val="single" w:color="000000" w:themeColor="accent3" w:sz="12" w:space="0"/>
        </w:tcBorders>
      </w:tcPr>
    </w:tblStylePr>
    <w:tblStylePr w:type="lastCol">
      <w:rPr>
        <w:b/>
        <w:color w:val="5C702F" w:themeColor="accent3" w:themeTint="fe" w:themeShade="95"/>
      </w:rPr>
      <w:tblPr/>
    </w:tblStylePr>
    <w:tblStylePr w:type="lastRow">
      <w:rPr>
        <w:b/>
        <w:color w:val="5C702F" w:themeColor="accent3" w:themeTint="fe" w:themeShade="95"/>
      </w:rPr>
      <w:tblPr/>
    </w:tblStylePr>
    <w:tblStylePr w:type="wholeTable">
      <w:rPr>
        <w:color w:val="404040" w:themeColor="accent3" w:themeTint="fe" w:themeShade="95"/>
        <w:sz w:val="22"/>
      </w:rPr>
      <w:tblPr/>
    </w:tblStylePr>
  </w:style>
  <w:style w:type="table" w:styleId="929">
    <w:name w:val="Grid Table 6 Colorful - Accent 4"/>
    <w:basedOn w:val="1009"/>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404040" w:themeColor="accent4" w:themeTint="9a" w:themeShade="95"/>
        <w:sz w:val="22"/>
      </w:rPr>
      <w:tblPr/>
    </w:tblStylePr>
    <w:tblStylePr w:type="firstCol">
      <w:rPr>
        <w:b/>
        <w:color w:val="664F82" w:themeColor="accent4" w:themeTint="9a" w:themeShade="95"/>
      </w:rPr>
      <w:tblPr/>
    </w:tblStylePr>
    <w:tblStylePr w:type="firstRow">
      <w:rPr>
        <w:b/>
        <w:color w:val="664F82" w:themeColor="accent4" w:themeTint="9a" w:themeShade="95"/>
      </w:rPr>
      <w:tblPr/>
      <w:tcPr>
        <w:tcBorders>
          <w:bottom w:val="single" w:color="000000" w:themeColor="accent4" w:sz="12" w:space="0"/>
        </w:tcBorders>
      </w:tcPr>
    </w:tblStylePr>
    <w:tblStylePr w:type="lastCol">
      <w:rPr>
        <w:b/>
        <w:color w:val="664F82" w:themeColor="accent4" w:themeTint="9a" w:themeShade="95"/>
      </w:rPr>
      <w:tblPr/>
    </w:tblStylePr>
    <w:tblStylePr w:type="lastRow">
      <w:rPr>
        <w:b/>
        <w:color w:val="664F82" w:themeColor="accent4" w:themeTint="9a" w:themeShade="95"/>
      </w:rPr>
      <w:tblPr/>
    </w:tblStylePr>
    <w:tblStylePr w:type="wholeTable">
      <w:rPr>
        <w:color w:val="404040" w:themeColor="accent4" w:themeTint="9a" w:themeShade="95"/>
        <w:sz w:val="22"/>
      </w:rPr>
      <w:tblPr/>
    </w:tblStylePr>
  </w:style>
  <w:style w:type="table" w:styleId="930">
    <w:name w:val="Grid Table 6 Colorful - Accent 5"/>
    <w:basedOn w:val="1009"/>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404040" w:themeColor="accent5" w:themeShade="95"/>
        <w:sz w:val="22"/>
      </w:rPr>
      <w:tblPr/>
    </w:tblStylePr>
    <w:tblStylePr w:type="firstCol">
      <w:rPr>
        <w:b/>
        <w:color w:val="266777" w:themeColor="accent5" w:themeShade="95"/>
      </w:rPr>
      <w:tblPr/>
    </w:tblStylePr>
    <w:tblStylePr w:type="firstRow">
      <w:rPr>
        <w:b/>
        <w:color w:val="266777" w:themeColor="accent5" w:themeShade="95"/>
      </w:rPr>
      <w:tblPr/>
      <w:tcPr>
        <w:tcBorders>
          <w:bottom w:val="single" w:color="000000" w:themeColor="accent5" w:sz="12" w:space="0"/>
        </w:tcBorders>
      </w:tcPr>
    </w:tblStylePr>
    <w:tblStylePr w:type="lastCol">
      <w:rPr>
        <w:b/>
        <w:color w:val="266777" w:themeColor="accent5" w:themeShade="95"/>
      </w:rPr>
      <w:tblPr/>
    </w:tblStylePr>
    <w:tblStylePr w:type="lastRow">
      <w:rPr>
        <w:b/>
        <w:color w:val="266777" w:themeColor="accent5" w:themeShade="95"/>
      </w:rPr>
      <w:tblPr/>
    </w:tblStylePr>
    <w:tblStylePr w:type="wholeTable">
      <w:rPr>
        <w:color w:val="404040" w:themeColor="accent5" w:themeShade="95"/>
        <w:sz w:val="22"/>
      </w:rPr>
      <w:tblPr/>
    </w:tblStylePr>
  </w:style>
  <w:style w:type="table" w:styleId="931">
    <w:name w:val="Grid Table 6 Colorful - Accent 6"/>
    <w:basedOn w:val="1009"/>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val="404040" w:themeColor="accent5" w:themeShade="95"/>
        <w:sz w:val="22"/>
      </w:rPr>
      <w:tblPr/>
    </w:tblStylePr>
    <w:tblStylePr w:type="firstCol">
      <w:rPr>
        <w:b/>
        <w:color w:val="266777" w:themeColor="accent5" w:themeShade="95"/>
      </w:rPr>
      <w:tblPr/>
    </w:tblStylePr>
    <w:tblStylePr w:type="firstRow">
      <w:rPr>
        <w:b/>
        <w:color w:val="266777" w:themeColor="accent5" w:themeShade="95"/>
      </w:rPr>
      <w:tblPr/>
      <w:tcPr>
        <w:tcBorders>
          <w:bottom w:val="single" w:color="000000" w:themeColor="accent6" w:sz="12" w:space="0"/>
        </w:tcBorders>
      </w:tcPr>
    </w:tblStylePr>
    <w:tblStylePr w:type="lastCol">
      <w:rPr>
        <w:b/>
        <w:color w:val="266777" w:themeColor="accent5" w:themeShade="95"/>
      </w:rPr>
      <w:tblPr/>
    </w:tblStylePr>
    <w:tblStylePr w:type="lastRow">
      <w:rPr>
        <w:b/>
        <w:color w:val="266777" w:themeColor="accent5" w:themeShade="95"/>
      </w:rPr>
      <w:tblPr/>
    </w:tblStylePr>
    <w:tblStylePr w:type="wholeTable">
      <w:rPr>
        <w:color w:val="404040" w:themeColor="accent5" w:themeShade="95"/>
        <w:sz w:val="22"/>
      </w:rPr>
      <w:tblPr/>
    </w:tblStylePr>
  </w:style>
  <w:style w:type="table" w:styleId="932">
    <w:name w:val="Grid Table 7 Colorful"/>
    <w:basedOn w:val="1009"/>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0"/>
      </w:tcPr>
    </w:tblStylePr>
    <w:tblStylePr w:type="band1Vert">
      <w:tblPr/>
      <w:tcPr>
        <w:shd w:val="clear" w:color="FFFFFF" w:fill="F2F2F2" w:themeFill="text1" w:themeFillTint="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b/>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b/>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933">
    <w:name w:val="Grid Table 7 Colorful - Accent 1"/>
    <w:basedOn w:val="1009"/>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E70A3"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val="3E70A3" w:themeColor="accent1" w:themeTint="80" w:themeShade="95"/>
        <w:sz w:val="22"/>
      </w:rPr>
      <w:tblPr/>
    </w:tblStylePr>
    <w:tblStylePr w:type="firstCol">
      <w:pPr>
        <w:jc w:val="right"/>
      </w:pPr>
      <w:rPr>
        <w:i/>
        <w:color w:val="3E70A3" w:themeColor="accent1" w:themeTint="80"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b/>
        <w:color w:val="3E70A3" w:themeColor="accent1" w:themeTint="80"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3E70A3" w:themeColor="accent1" w:themeTint="80"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b/>
        <w:color w:val="3E70A3" w:themeColor="accent1" w:themeTint="80"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style>
  <w:style w:type="table" w:styleId="934">
    <w:name w:val="Grid Table 7 Colorful - Accent 2"/>
    <w:basedOn w:val="1009"/>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9C3A37"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val="9C3A37" w:themeColor="accent2" w:themeTint="97" w:themeShade="95"/>
        <w:sz w:val="22"/>
      </w:rPr>
      <w:tblPr/>
    </w:tblStylePr>
    <w:tblStylePr w:type="firstCol">
      <w:pPr>
        <w:jc w:val="right"/>
      </w:pPr>
      <w:rPr>
        <w:i/>
        <w:color w:val="9C3A37"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b/>
        <w:color w:val="9C3A37"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9C3A37"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b/>
        <w:color w:val="9C3A37"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style>
  <w:style w:type="table" w:styleId="935">
    <w:name w:val="Grid Table 7 Colorful - Accent 3"/>
    <w:basedOn w:val="1009"/>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5C702F"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val="5C702F" w:themeColor="accent3" w:themeTint="fe" w:themeShade="95"/>
        <w:sz w:val="22"/>
      </w:rPr>
      <w:tblPr/>
    </w:tblStylePr>
    <w:tblStylePr w:type="firstCol">
      <w:pPr>
        <w:jc w:val="right"/>
      </w:pPr>
      <w:rPr>
        <w:i/>
        <w:color w:val="5C702F" w:themeColor="accent3" w:themeTint="fe"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b/>
        <w:color w:val="5C702F" w:themeColor="accent3" w:themeTint="fe"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5C702F" w:themeColor="accent3" w:themeTint="fe"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b/>
        <w:color w:val="5C702F" w:themeColor="accent3" w:themeTint="fe"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style>
  <w:style w:type="table" w:styleId="936">
    <w:name w:val="Grid Table 7 Colorful - Accent 4"/>
    <w:basedOn w:val="1009"/>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664F82"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664F82" w:themeColor="accent4" w:themeTint="9a" w:themeShade="95"/>
        <w:sz w:val="22"/>
      </w:rPr>
      <w:tblPr/>
    </w:tblStylePr>
    <w:tblStylePr w:type="firstCol">
      <w:pPr>
        <w:jc w:val="right"/>
      </w:pPr>
      <w:rPr>
        <w:i/>
        <w:color w:val="664F82"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b/>
        <w:color w:val="664F82"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664F82"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b/>
        <w:color w:val="664F82"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style>
  <w:style w:type="table" w:styleId="937">
    <w:name w:val="Grid Table 7 Colorful - Accent 5"/>
    <w:basedOn w:val="1009"/>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66777"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266777" w:themeColor="accent5" w:themeShade="95"/>
        <w:sz w:val="22"/>
      </w:rPr>
      <w:tblPr/>
    </w:tblStylePr>
    <w:tblStylePr w:type="firstCol">
      <w:pPr>
        <w:jc w:val="right"/>
      </w:pPr>
      <w:rPr>
        <w:i/>
        <w:color w:val="266777" w:themeColor="accent5"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b/>
        <w:color w:val="266777" w:themeColor="accent5"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266777" w:themeColor="accent5"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b/>
        <w:color w:val="266777" w:themeColor="accent5"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style>
  <w:style w:type="table" w:styleId="938">
    <w:name w:val="Grid Table 7 Colorful - Accent 6"/>
    <w:basedOn w:val="1009"/>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B05307" w:themeColor="accent6"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val="B05307" w:themeColor="accent6" w:themeShade="95"/>
        <w:sz w:val="22"/>
      </w:rPr>
      <w:tblPr/>
    </w:tblStylePr>
    <w:tblStylePr w:type="firstCol">
      <w:pPr>
        <w:jc w:val="right"/>
      </w:pPr>
      <w:rPr>
        <w:i/>
        <w:color w:val="B05307" w:themeColor="accent6"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b/>
        <w:color w:val="B05307" w:themeColor="accent6"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B05307" w:themeColor="accent6"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b/>
        <w:color w:val="B05307" w:themeColor="accent6"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style>
  <w:style w:type="table" w:styleId="939">
    <w:name w:val="List Table 1 Light"/>
    <w:basedOn w:val="1009"/>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940">
    <w:name w:val="List Table 1 Light - Accent 1"/>
    <w:basedOn w:val="1009"/>
    <w:uiPriority w:val="99"/>
    <w:pPr>
      <w:spacing w:after="0" w:line="240" w:lineRule="auto"/>
    </w:pPr>
    <w:tblPr>
      <w:tblStyleRowBandSize w:val="1"/>
      <w:tblStyleColBandSize w:val="1"/>
    </w:tblPr>
    <w:tblStylePr w:type="band1Horz">
      <w:tblPr/>
      <w:tcPr>
        <w:shd w:val="clear" w:color="FFFFFF" w:fill="D3E0EE" w:themeFill="accent1" w:themeFillTint="40"/>
      </w:tcPr>
    </w:tblStylePr>
    <w:tblStylePr w:type="band1Vert">
      <w:tblPr/>
      <w:tcPr>
        <w:shd w:val="clear" w:color="FFFFFF" w:fill="D3E0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tcPr>
    </w:tblStylePr>
  </w:style>
  <w:style w:type="table" w:styleId="941">
    <w:name w:val="List Table 1 Light - Accent 2"/>
    <w:basedOn w:val="1009"/>
    <w:uiPriority w:val="99"/>
    <w:pPr>
      <w:spacing w:after="0" w:line="240" w:lineRule="auto"/>
    </w:pPr>
    <w:tblPr>
      <w:tblStyleRowBandSize w:val="1"/>
      <w:tblStyleColBandSize w:val="1"/>
    </w:tblPr>
    <w:tblStylePr w:type="band1Horz">
      <w:tblPr/>
      <w:tcPr>
        <w:shd w:val="clear" w:color="FFFFFF" w:fill="EFD3D2" w:themeFill="accent2" w:themeFillTint="40"/>
      </w:tcPr>
    </w:tblStylePr>
    <w:tblStylePr w:type="band1Vert">
      <w:tblPr/>
      <w:tcPr>
        <w:shd w:val="clear" w:color="FFFFFF" w:fill="EFD3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tcPr>
    </w:tblStylePr>
  </w:style>
  <w:style w:type="table" w:styleId="942">
    <w:name w:val="List Table 1 Light - Accent 3"/>
    <w:basedOn w:val="1009"/>
    <w:uiPriority w:val="99"/>
    <w:pPr>
      <w:spacing w:after="0" w:line="240" w:lineRule="auto"/>
    </w:pPr>
    <w:tblPr>
      <w:tblStyleRowBandSize w:val="1"/>
      <w:tblStyleColBandSize w:val="1"/>
    </w:tblPr>
    <w:tblStylePr w:type="band1Horz">
      <w:tblPr/>
      <w:tcPr>
        <w:shd w:val="clear" w:color="FFFFFF" w:fill="E6EED5" w:themeFill="accent3" w:themeFillTint="40"/>
      </w:tcPr>
    </w:tblStylePr>
    <w:tblStylePr w:type="band1Vert">
      <w:tblPr/>
      <w:tcPr>
        <w:shd w:val="clear" w:color="FFFFFF" w:fill="E6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tcPr>
    </w:tblStylePr>
  </w:style>
  <w:style w:type="table" w:styleId="943">
    <w:name w:val="List Table 1 Light - Accent 4"/>
    <w:basedOn w:val="1009"/>
    <w:uiPriority w:val="99"/>
    <w:pPr>
      <w:spacing w:after="0" w:line="240" w:lineRule="auto"/>
    </w:pPr>
    <w:tblPr>
      <w:tblStyleRowBandSize w:val="1"/>
      <w:tblStyleColBandSize w:val="1"/>
    </w:tblPr>
    <w:tblStylePr w:type="band1Horz">
      <w:tblPr/>
      <w:tcPr>
        <w:shd w:val="clear" w:color="FFFFFF" w:fill="DFD8E7" w:themeFill="accent4" w:themeFillTint="40"/>
      </w:tcPr>
    </w:tblStylePr>
    <w:tblStylePr w:type="band1Vert">
      <w:tblPr/>
      <w:tcPr>
        <w:shd w:val="clear" w:color="FFFFFF"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tcPr>
    </w:tblStylePr>
  </w:style>
  <w:style w:type="table" w:styleId="944">
    <w:name w:val="List Table 1 Light - Accent 5"/>
    <w:basedOn w:val="1009"/>
    <w:uiPriority w:val="99"/>
    <w:pPr>
      <w:spacing w:after="0" w:line="240" w:lineRule="auto"/>
    </w:pPr>
    <w:tblPr>
      <w:tblStyleRowBandSize w:val="1"/>
      <w:tblStyleColBandSize w:val="1"/>
    </w:tblPr>
    <w:tblStylePr w:type="band1Horz">
      <w:tblPr/>
      <w:tcPr>
        <w:shd w:val="clear" w:color="FFFFFF" w:fill="D1EAF0" w:themeFill="accent5" w:themeFillTint="40"/>
      </w:tcPr>
    </w:tblStylePr>
    <w:tblStylePr w:type="band1Vert">
      <w:tblPr/>
      <w:tcPr>
        <w:shd w:val="clear" w:color="FFFFFF"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tcPr>
    </w:tblStylePr>
  </w:style>
  <w:style w:type="table" w:styleId="945">
    <w:name w:val="List Table 1 Light - Accent 6"/>
    <w:basedOn w:val="1009"/>
    <w:uiPriority w:val="99"/>
    <w:pPr>
      <w:spacing w:after="0" w:line="240" w:lineRule="auto"/>
    </w:pPr>
    <w:tblPr>
      <w:tblStyleRowBandSize w:val="1"/>
      <w:tblStyleColBandSize w:val="1"/>
    </w:tblPr>
    <w:tblStylePr w:type="band1Horz">
      <w:tblPr/>
      <w:tcPr>
        <w:shd w:val="clear" w:color="FFFFFF" w:fill="FCE4D1" w:themeFill="accent6" w:themeFillTint="40"/>
      </w:tcPr>
    </w:tblStylePr>
    <w:tblStylePr w:type="band1Vert">
      <w:tblPr/>
      <w:tcPr>
        <w:shd w:val="clear" w:color="FFFFFF" w:fill="FCE4D1"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tcPr>
    </w:tblStylePr>
  </w:style>
  <w:style w:type="table" w:styleId="946">
    <w:name w:val="List Table 2"/>
    <w:basedOn w:val="1009"/>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947">
    <w:name w:val="List Table 2 - Accent 1"/>
    <w:basedOn w:val="1009"/>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3E0EE" w:themeFill="accent1" w:themeFillTint="40"/>
      </w:tcPr>
    </w:tblStylePr>
    <w:tblStylePr w:type="band1Vert">
      <w:rPr>
        <w:color w:val="404040"/>
        <w:sz w:val="22"/>
      </w:rPr>
      <w:tblPr/>
      <w:tcPr>
        <w:shd w:val="clear" w:color="FFFFFF" w:fill="D3E0EE" w:themeFill="accent1" w:themeFillTint="40"/>
      </w:tcPr>
    </w:tblStylePr>
    <w:tblStylePr w:type="firstCol">
      <w:rPr>
        <w:b/>
        <w:color w:val="404040"/>
        <w:sz w:val="22"/>
      </w:rPr>
      <w:tblPr/>
    </w:tblStylePr>
    <w:tblStylePr w:type="fir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948">
    <w:name w:val="List Table 2 - Accent 2"/>
    <w:basedOn w:val="1009"/>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blPr/>
      <w:tcPr>
        <w:shd w:val="clear" w:color="FFFFFF" w:fill="EFD3D2" w:themeFill="accent2" w:themeFillTint="40"/>
      </w:tcPr>
    </w:tblStylePr>
    <w:tblStylePr w:type="band1Vert">
      <w:rPr>
        <w:color w:val="404040"/>
        <w:sz w:val="22"/>
      </w:rPr>
      <w:tblPr/>
      <w:tcPr>
        <w:shd w:val="clear" w:color="FFFFFF" w:fill="EFD3D2" w:themeFill="accent2" w:themeFillTint="40"/>
      </w:tcPr>
    </w:tblStylePr>
    <w:tblStylePr w:type="firstCol">
      <w:rPr>
        <w:b/>
        <w:color w:val="404040"/>
        <w:sz w:val="22"/>
      </w:rPr>
      <w:tblPr/>
    </w:tblStylePr>
    <w:tblStylePr w:type="fir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949">
    <w:name w:val="List Table 2 - Accent 3"/>
    <w:basedOn w:val="1009"/>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6EED5" w:themeFill="accent3" w:themeFillTint="40"/>
      </w:tcPr>
    </w:tblStylePr>
    <w:tblStylePr w:type="band1Vert">
      <w:rPr>
        <w:color w:val="404040"/>
        <w:sz w:val="22"/>
      </w:rPr>
      <w:tblPr/>
      <w:tcPr>
        <w:shd w:val="clear" w:color="FFFFFF" w:fill="E6EED5" w:themeFill="accent3" w:themeFillTint="40"/>
      </w:tcPr>
    </w:tblStylePr>
    <w:tblStylePr w:type="firstCol">
      <w:rPr>
        <w:b/>
        <w:color w:val="404040"/>
        <w:sz w:val="22"/>
      </w:rPr>
      <w:tblPr/>
    </w:tblStylePr>
    <w:tblStylePr w:type="fir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950">
    <w:name w:val="List Table 2 - Accent 4"/>
    <w:basedOn w:val="1009"/>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blPr/>
      <w:tcPr>
        <w:shd w:val="clear" w:color="FFFFFF" w:fill="DFD8E7" w:themeFill="accent4" w:themeFillTint="40"/>
      </w:tcPr>
    </w:tblStylePr>
    <w:tblStylePr w:type="band1Vert">
      <w:rPr>
        <w:color w:val="404040"/>
        <w:sz w:val="22"/>
      </w:rPr>
      <w:tblPr/>
      <w:tcPr>
        <w:shd w:val="clear" w:color="FFFFFF" w:fill="DFD8E7" w:themeFill="accent4" w:themeFillTint="40"/>
      </w:tcPr>
    </w:tblStylePr>
    <w:tblStylePr w:type="firstCol">
      <w:rPr>
        <w:b/>
        <w:color w:val="404040"/>
        <w:sz w:val="22"/>
      </w:rPr>
      <w:tblPr/>
    </w:tblStylePr>
    <w:tblStylePr w:type="fir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951">
    <w:name w:val="List Table 2 - Accent 5"/>
    <w:basedOn w:val="1009"/>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1EAF0" w:themeFill="accent5" w:themeFillTint="40"/>
      </w:tcPr>
    </w:tblStylePr>
    <w:tblStylePr w:type="band1Vert">
      <w:rPr>
        <w:color w:val="404040"/>
        <w:sz w:val="22"/>
      </w:rPr>
      <w:tblPr/>
      <w:tcPr>
        <w:shd w:val="clear" w:color="FFFFFF" w:fill="D1EAF0" w:themeFill="accent5" w:themeFillTint="40"/>
      </w:tcPr>
    </w:tblStylePr>
    <w:tblStylePr w:type="firstCol">
      <w:rPr>
        <w:b/>
        <w:color w:val="404040"/>
        <w:sz w:val="22"/>
      </w:rPr>
      <w:tblPr/>
    </w:tblStylePr>
    <w:tblStylePr w:type="fir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952">
    <w:name w:val="List Table 2 - Accent 6"/>
    <w:basedOn w:val="1009"/>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blPr/>
      <w:tcPr>
        <w:shd w:val="clear" w:color="FFFFFF" w:fill="FCE4D1" w:themeFill="accent6" w:themeFillTint="40"/>
      </w:tcPr>
    </w:tblStylePr>
    <w:tblStylePr w:type="band1Vert">
      <w:rPr>
        <w:color w:val="404040"/>
        <w:sz w:val="22"/>
      </w:rPr>
      <w:tblPr/>
      <w:tcPr>
        <w:shd w:val="clear" w:color="FFFFFF" w:fill="FCE4D1" w:themeFill="accent6" w:themeFillTint="40"/>
      </w:tcPr>
    </w:tblStylePr>
    <w:tblStylePr w:type="firstCol">
      <w:rPr>
        <w:b/>
        <w:color w:val="404040"/>
        <w:sz w:val="22"/>
      </w:rPr>
      <w:tblPr/>
    </w:tblStylePr>
    <w:tblStylePr w:type="fir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953">
    <w:name w:val="List Table 3"/>
    <w:basedOn w:val="1009"/>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954">
    <w:name w:val="List Table 3 - Accent 1"/>
    <w:basedOn w:val="1009"/>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blPr/>
      <w:tcPr>
        <w:tcBorders>
          <w:top w:val="single" w:color="000000" w:themeColor="accent1" w:sz="4" w:space="0"/>
          <w:bottom w:val="single" w:color="000000" w:themeColor="accent1" w:sz="4" w:space="0"/>
        </w:tcBorders>
      </w:tcPr>
    </w:tblStylePr>
    <w:tblStylePr w:type="band1Vert">
      <w:rPr>
        <w:color w:val="404040"/>
        <w:sz w:val="22"/>
      </w:rPr>
      <w:tblPr/>
      <w:tcPr>
        <w:tcBorders>
          <w:left w:val="single" w:color="000000" w:themeColor="accent1" w:sz="4" w:space="0"/>
          <w:right w:val="single" w:color="000000" w:themeColor="accent1" w:sz="4" w:space="0"/>
        </w:tcBorders>
      </w:tcPr>
    </w:tblStylePr>
    <w:tblStylePr w:type="firstCol">
      <w:rPr>
        <w:b/>
        <w:color w:val="404040"/>
      </w:rPr>
      <w:tblPr/>
    </w:tblStylePr>
    <w:tblStylePr w:type="firstRow">
      <w:rPr>
        <w:b/>
        <w:color w:val="FFFFFF"/>
        <w:sz w:val="22"/>
      </w:rPr>
      <w:tblPr/>
      <w:tcPr>
        <w:shd w:val="clear" w:color="FFFFFF" w:fill="4F81BD" w:themeFill="accent1"/>
      </w:tcPr>
    </w:tblStylePr>
    <w:tblStylePr w:type="lastCol">
      <w:rPr>
        <w:b/>
        <w:color w:val="404040"/>
      </w:rPr>
      <w:tblPr/>
    </w:tblStylePr>
    <w:tblStylePr w:type="lastRow">
      <w:rPr>
        <w:b/>
        <w:color w:val="404040"/>
      </w:rPr>
      <w:tblPr/>
    </w:tblStylePr>
  </w:style>
  <w:style w:type="table" w:styleId="955">
    <w:name w:val="List Table 3 - Accent 2"/>
    <w:basedOn w:val="1009"/>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blPr/>
      <w:tcPr>
        <w:tcBorders>
          <w:top w:val="single" w:color="000000" w:themeColor="accent2" w:sz="4" w:space="0"/>
          <w:bottom w:val="single" w:color="000000" w:themeColor="accent2" w:sz="4" w:space="0"/>
        </w:tcBorders>
      </w:tcPr>
    </w:tblStylePr>
    <w:tblStylePr w:type="band1Vert">
      <w:rPr>
        <w:color w:val="404040"/>
        <w:sz w:val="22"/>
      </w:rPr>
      <w:tblPr/>
      <w:tcPr>
        <w:tcBorders>
          <w:left w:val="single" w:color="000000" w:themeColor="accent2" w:sz="4" w:space="0"/>
          <w:right w:val="single" w:color="000000" w:themeColor="accent2" w:sz="4" w:space="0"/>
        </w:tcBorders>
      </w:tcPr>
    </w:tblStylePr>
    <w:tblStylePr w:type="firstCol">
      <w:rPr>
        <w:b/>
        <w:color w:val="404040"/>
      </w:rPr>
      <w:tblPr/>
    </w:tblStylePr>
    <w:tblStylePr w:type="firstRow">
      <w:rPr>
        <w:b/>
        <w:color w:val="FFFFFF"/>
        <w:sz w:val="22"/>
      </w:rPr>
      <w:tblPr/>
      <w:tcPr>
        <w:shd w:val="clear" w:color="FFFFFF" w:fill="D99694" w:themeFill="accent2" w:themeFillTint="97"/>
      </w:tcPr>
    </w:tblStylePr>
    <w:tblStylePr w:type="lastCol">
      <w:rPr>
        <w:b/>
        <w:color w:val="404040"/>
      </w:rPr>
      <w:tblPr/>
    </w:tblStylePr>
    <w:tblStylePr w:type="lastRow">
      <w:rPr>
        <w:b/>
        <w:color w:val="404040"/>
      </w:rPr>
      <w:tblPr/>
    </w:tblStylePr>
  </w:style>
  <w:style w:type="table" w:styleId="956">
    <w:name w:val="List Table 3 - Accent 3"/>
    <w:basedOn w:val="1009"/>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blPr/>
      <w:tcPr>
        <w:tcBorders>
          <w:top w:val="single" w:color="000000" w:themeColor="accent3" w:sz="4" w:space="0"/>
          <w:bottom w:val="single" w:color="000000" w:themeColor="accent3" w:sz="4" w:space="0"/>
        </w:tcBorders>
      </w:tcPr>
    </w:tblStylePr>
    <w:tblStylePr w:type="band1Vert">
      <w:rPr>
        <w:color w:val="404040"/>
        <w:sz w:val="22"/>
      </w:rPr>
      <w:tblPr/>
      <w:tcPr>
        <w:tcBorders>
          <w:left w:val="single" w:color="000000" w:themeColor="accent3" w:sz="4" w:space="0"/>
          <w:right w:val="single" w:color="000000" w:themeColor="accent3" w:sz="4" w:space="0"/>
        </w:tcBorders>
      </w:tcPr>
    </w:tblStylePr>
    <w:tblStylePr w:type="firstCol">
      <w:rPr>
        <w:b/>
        <w:color w:val="404040"/>
      </w:rPr>
      <w:tblPr/>
    </w:tblStylePr>
    <w:tblStylePr w:type="firstRow">
      <w:rPr>
        <w:b/>
        <w:color w:val="FFFFFF"/>
        <w:sz w:val="22"/>
      </w:rPr>
      <w:tblPr/>
      <w:tcPr>
        <w:shd w:val="clear" w:color="FFFFFF" w:fill="C3D69B" w:themeFill="accent3" w:themeFillTint="98"/>
      </w:tcPr>
    </w:tblStylePr>
    <w:tblStylePr w:type="lastCol">
      <w:rPr>
        <w:b/>
        <w:color w:val="404040"/>
      </w:rPr>
      <w:tblPr/>
    </w:tblStylePr>
    <w:tblStylePr w:type="lastRow">
      <w:rPr>
        <w:b/>
        <w:color w:val="404040"/>
      </w:rPr>
      <w:tblPr/>
    </w:tblStylePr>
  </w:style>
  <w:style w:type="table" w:styleId="957">
    <w:name w:val="List Table 3 - Accent 4"/>
    <w:basedOn w:val="1009"/>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blPr/>
      <w:tcPr>
        <w:tcBorders>
          <w:top w:val="single" w:color="000000" w:themeColor="accent4" w:sz="4" w:space="0"/>
          <w:bottom w:val="single" w:color="000000" w:themeColor="accent4" w:sz="4" w:space="0"/>
        </w:tcBorders>
      </w:tcPr>
    </w:tblStylePr>
    <w:tblStylePr w:type="band1Vert">
      <w:rPr>
        <w:color w:val="404040"/>
        <w:sz w:val="22"/>
      </w:rPr>
      <w:tblPr/>
      <w:tcPr>
        <w:tcBorders>
          <w:left w:val="single" w:color="000000" w:themeColor="accent4" w:sz="4" w:space="0"/>
          <w:right w:val="single" w:color="000000" w:themeColor="accent4" w:sz="4" w:space="0"/>
        </w:tcBorders>
      </w:tcPr>
    </w:tblStylePr>
    <w:tblStylePr w:type="firstCol">
      <w:rPr>
        <w:b/>
        <w:color w:val="404040"/>
      </w:rPr>
      <w:tblPr/>
    </w:tblStylePr>
    <w:tblStylePr w:type="firstRow">
      <w:rPr>
        <w:b/>
        <w:color w:val="FFFFFF"/>
        <w:sz w:val="22"/>
      </w:rPr>
      <w:tblPr/>
      <w:tcPr>
        <w:shd w:val="clear" w:color="FFFFFF" w:fill="B2A1C6" w:themeFill="accent4" w:themeFillTint="9a"/>
      </w:tcPr>
    </w:tblStylePr>
    <w:tblStylePr w:type="lastCol">
      <w:rPr>
        <w:b/>
        <w:color w:val="404040"/>
      </w:rPr>
      <w:tblPr/>
    </w:tblStylePr>
    <w:tblStylePr w:type="lastRow">
      <w:rPr>
        <w:b/>
        <w:color w:val="404040"/>
      </w:rPr>
      <w:tblPr/>
    </w:tblStylePr>
  </w:style>
  <w:style w:type="table" w:styleId="958">
    <w:name w:val="List Table 3 - Accent 5"/>
    <w:basedOn w:val="1009"/>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blPr/>
      <w:tcPr>
        <w:tcBorders>
          <w:top w:val="single" w:color="000000" w:themeColor="accent5" w:sz="4" w:space="0"/>
          <w:bottom w:val="single" w:color="000000" w:themeColor="accent5" w:sz="4" w:space="0"/>
        </w:tcBorders>
      </w:tcPr>
    </w:tblStylePr>
    <w:tblStylePr w:type="band1Vert">
      <w:rPr>
        <w:color w:val="404040"/>
        <w:sz w:val="22"/>
      </w:rPr>
      <w:tblPr/>
      <w:tcPr>
        <w:tcBorders>
          <w:left w:val="single" w:color="000000" w:themeColor="accent5" w:sz="4" w:space="0"/>
          <w:right w:val="single" w:color="000000" w:themeColor="accent5" w:sz="4" w:space="0"/>
        </w:tcBorders>
      </w:tcPr>
    </w:tblStylePr>
    <w:tblStylePr w:type="firstCol">
      <w:rPr>
        <w:b/>
        <w:color w:val="404040"/>
      </w:rPr>
      <w:tblPr/>
    </w:tblStylePr>
    <w:tblStylePr w:type="firstRow">
      <w:rPr>
        <w:b/>
        <w:color w:val="FFFFFF"/>
        <w:sz w:val="22"/>
      </w:rPr>
      <w:tblPr/>
      <w:tcPr>
        <w:shd w:val="clear" w:color="FFFFFF" w:fill="91CDDC" w:themeFill="accent5" w:themeFillTint="9a"/>
      </w:tcPr>
    </w:tblStylePr>
    <w:tblStylePr w:type="lastCol">
      <w:rPr>
        <w:b/>
        <w:color w:val="404040"/>
      </w:rPr>
      <w:tblPr/>
    </w:tblStylePr>
    <w:tblStylePr w:type="lastRow">
      <w:rPr>
        <w:b/>
        <w:color w:val="404040"/>
      </w:rPr>
      <w:tblPr/>
    </w:tblStylePr>
  </w:style>
  <w:style w:type="table" w:styleId="959">
    <w:name w:val="List Table 3 - Accent 6"/>
    <w:basedOn w:val="1009"/>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blPr/>
      <w:tcPr>
        <w:tcBorders>
          <w:top w:val="single" w:color="000000" w:themeColor="accent6" w:sz="4" w:space="0"/>
          <w:bottom w:val="single" w:color="000000" w:themeColor="accent6" w:sz="4" w:space="0"/>
        </w:tcBorders>
      </w:tcPr>
    </w:tblStylePr>
    <w:tblStylePr w:type="band1Vert">
      <w:rPr>
        <w:color w:val="404040"/>
        <w:sz w:val="22"/>
      </w:rPr>
      <w:tblPr/>
      <w:tcPr>
        <w:tcBorders>
          <w:left w:val="single" w:color="000000" w:themeColor="accent6" w:sz="4" w:space="0"/>
          <w:right w:val="single" w:color="000000" w:themeColor="accent6" w:sz="4" w:space="0"/>
        </w:tcBorders>
      </w:tcPr>
    </w:tblStylePr>
    <w:tblStylePr w:type="firstCol">
      <w:rPr>
        <w:b/>
        <w:color w:val="404040"/>
      </w:rPr>
      <w:tblPr/>
    </w:tblStylePr>
    <w:tblStylePr w:type="firstRow">
      <w:rPr>
        <w:b/>
        <w:color w:val="FFFFFF"/>
        <w:sz w:val="22"/>
      </w:rPr>
      <w:tblPr/>
      <w:tcPr>
        <w:shd w:val="clear" w:color="FFFFFF" w:fill="F9BF90" w:themeFill="accent6" w:themeFillTint="98"/>
      </w:tcPr>
    </w:tblStylePr>
    <w:tblStylePr w:type="lastCol">
      <w:rPr>
        <w:b/>
        <w:color w:val="404040"/>
      </w:rPr>
      <w:tblPr/>
    </w:tblStylePr>
    <w:tblStylePr w:type="lastRow">
      <w:rPr>
        <w:b/>
        <w:color w:val="404040"/>
      </w:rPr>
      <w:tblPr/>
    </w:tblStylePr>
  </w:style>
  <w:style w:type="table" w:styleId="960">
    <w:name w:val="List Table 4"/>
    <w:basedOn w:val="1009"/>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961">
    <w:name w:val="List Table 4 - Accent 1"/>
    <w:basedOn w:val="1009"/>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3E0EE" w:themeFill="accent1" w:themeFillTint="40"/>
      </w:tcPr>
    </w:tblStylePr>
    <w:tblStylePr w:type="band1Vert">
      <w:rPr>
        <w:color w:val="404040"/>
        <w:sz w:val="22"/>
      </w:rPr>
      <w:tblPr/>
      <w:tcPr>
        <w:shd w:val="clear" w:color="FFFFFF" w:fill="D3E0EE" w:themeFill="accent1" w:themeFillTint="40"/>
      </w:tcPr>
    </w:tblStylePr>
    <w:tblStylePr w:type="firstCol">
      <w:rPr>
        <w:b/>
        <w:color w:val="404040"/>
      </w:rPr>
      <w:tblPr/>
    </w:tblStylePr>
    <w:tblStylePr w:type="firstRow">
      <w:rPr>
        <w:b/>
        <w:color w:val="FFFFFF"/>
        <w:sz w:val="22"/>
      </w:rPr>
      <w:tblPr/>
      <w:tcPr>
        <w:shd w:val="clear" w:color="FFFFFF" w:fill="4F81BD" w:themeFill="accent1"/>
      </w:tcPr>
    </w:tblStylePr>
    <w:tblStylePr w:type="lastCol">
      <w:rPr>
        <w:b/>
        <w:color w:val="404040"/>
      </w:rPr>
      <w:tblPr/>
    </w:tblStylePr>
    <w:tblStylePr w:type="lastRow">
      <w:rPr>
        <w:b/>
        <w:color w:val="404040"/>
      </w:rPr>
      <w:tblPr/>
    </w:tblStylePr>
  </w:style>
  <w:style w:type="table" w:styleId="962">
    <w:name w:val="List Table 4 - Accent 2"/>
    <w:basedOn w:val="1009"/>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blPr/>
      <w:tcPr>
        <w:shd w:val="clear" w:color="FFFFFF" w:fill="EFD3D2" w:themeFill="accent2" w:themeFillTint="40"/>
      </w:tcPr>
    </w:tblStylePr>
    <w:tblStylePr w:type="band1Vert">
      <w:rPr>
        <w:color w:val="404040"/>
        <w:sz w:val="22"/>
      </w:rPr>
      <w:tblPr/>
      <w:tcPr>
        <w:shd w:val="clear" w:color="FFFFFF" w:fill="EFD3D2" w:themeFill="accent2" w:themeFillTint="40"/>
      </w:tcPr>
    </w:tblStylePr>
    <w:tblStylePr w:type="firstCol">
      <w:rPr>
        <w:b/>
        <w:color w:val="404040"/>
      </w:rPr>
      <w:tblPr/>
    </w:tblStylePr>
    <w:tblStylePr w:type="firstRow">
      <w:rPr>
        <w:b/>
        <w:color w:val="FFFFFF"/>
        <w:sz w:val="22"/>
      </w:rPr>
      <w:tblPr/>
      <w:tcPr>
        <w:shd w:val="clear" w:color="FFFFFF" w:fill="C0504D" w:themeFill="accent2"/>
      </w:tcPr>
    </w:tblStylePr>
    <w:tblStylePr w:type="lastCol">
      <w:rPr>
        <w:b/>
        <w:color w:val="404040"/>
      </w:rPr>
      <w:tblPr/>
    </w:tblStylePr>
    <w:tblStylePr w:type="lastRow">
      <w:rPr>
        <w:b/>
        <w:color w:val="404040"/>
      </w:rPr>
      <w:tblPr/>
    </w:tblStylePr>
  </w:style>
  <w:style w:type="table" w:styleId="963">
    <w:name w:val="List Table 4 - Accent 3"/>
    <w:basedOn w:val="1009"/>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6EED5" w:themeFill="accent3" w:themeFillTint="40"/>
      </w:tcPr>
    </w:tblStylePr>
    <w:tblStylePr w:type="band1Vert">
      <w:rPr>
        <w:color w:val="404040"/>
        <w:sz w:val="22"/>
      </w:rPr>
      <w:tblPr/>
      <w:tcPr>
        <w:shd w:val="clear" w:color="FFFFFF" w:fill="E6EED5" w:themeFill="accent3" w:themeFillTint="40"/>
      </w:tcPr>
    </w:tblStylePr>
    <w:tblStylePr w:type="firstCol">
      <w:rPr>
        <w:b/>
        <w:color w:val="404040"/>
      </w:rPr>
      <w:tblPr/>
    </w:tblStylePr>
    <w:tblStylePr w:type="firstRow">
      <w:rPr>
        <w:b/>
        <w:color w:val="FFFFFF"/>
        <w:sz w:val="22"/>
      </w:rPr>
      <w:tblPr/>
      <w:tcPr>
        <w:shd w:val="clear" w:color="FFFFFF" w:fill="9BBB59" w:themeFill="accent3"/>
      </w:tcPr>
    </w:tblStylePr>
    <w:tblStylePr w:type="lastCol">
      <w:rPr>
        <w:b/>
        <w:color w:val="404040"/>
      </w:rPr>
      <w:tblPr/>
    </w:tblStylePr>
    <w:tblStylePr w:type="lastRow">
      <w:rPr>
        <w:b/>
        <w:color w:val="404040"/>
      </w:rPr>
      <w:tblPr/>
    </w:tblStylePr>
  </w:style>
  <w:style w:type="table" w:styleId="964">
    <w:name w:val="List Table 4 - Accent 4"/>
    <w:basedOn w:val="1009"/>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blPr/>
      <w:tcPr>
        <w:shd w:val="clear" w:color="FFFFFF" w:fill="DFD8E7" w:themeFill="accent4" w:themeFillTint="40"/>
      </w:tcPr>
    </w:tblStylePr>
    <w:tblStylePr w:type="band1Vert">
      <w:rPr>
        <w:color w:val="404040"/>
        <w:sz w:val="22"/>
      </w:rPr>
      <w:tblPr/>
      <w:tcPr>
        <w:shd w:val="clear" w:color="FFFFFF" w:fill="DFD8E7" w:themeFill="accent4" w:themeFillTint="40"/>
      </w:tcPr>
    </w:tblStylePr>
    <w:tblStylePr w:type="firstCol">
      <w:rPr>
        <w:b/>
        <w:color w:val="404040"/>
      </w:rPr>
      <w:tblPr/>
    </w:tblStylePr>
    <w:tblStylePr w:type="firstRow">
      <w:rPr>
        <w:b/>
        <w:color w:val="FFFFFF"/>
        <w:sz w:val="22"/>
      </w:rPr>
      <w:tblPr/>
      <w:tcPr>
        <w:shd w:val="clear" w:color="FFFFFF" w:fill="8064A2" w:themeFill="accent4"/>
      </w:tcPr>
    </w:tblStylePr>
    <w:tblStylePr w:type="lastCol">
      <w:rPr>
        <w:b/>
        <w:color w:val="404040"/>
      </w:rPr>
      <w:tblPr/>
    </w:tblStylePr>
    <w:tblStylePr w:type="lastRow">
      <w:rPr>
        <w:b/>
        <w:color w:val="404040"/>
      </w:rPr>
      <w:tblPr/>
    </w:tblStylePr>
  </w:style>
  <w:style w:type="table" w:styleId="965">
    <w:name w:val="List Table 4 - Accent 5"/>
    <w:basedOn w:val="1009"/>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1EAF0" w:themeFill="accent5" w:themeFillTint="40"/>
      </w:tcPr>
    </w:tblStylePr>
    <w:tblStylePr w:type="band1Vert">
      <w:rPr>
        <w:color w:val="404040"/>
        <w:sz w:val="22"/>
      </w:rPr>
      <w:tblPr/>
      <w:tcPr>
        <w:shd w:val="clear" w:color="FFFFFF" w:fill="D1EAF0" w:themeFill="accent5" w:themeFillTint="40"/>
      </w:tcPr>
    </w:tblStylePr>
    <w:tblStylePr w:type="firstCol">
      <w:rPr>
        <w:b/>
        <w:color w:val="404040"/>
      </w:rPr>
      <w:tblPr/>
    </w:tblStylePr>
    <w:tblStylePr w:type="firstRow">
      <w:rPr>
        <w:b/>
        <w:color w:val="FFFFFF"/>
        <w:sz w:val="22"/>
      </w:rPr>
      <w:tblPr/>
      <w:tcPr>
        <w:shd w:val="clear" w:color="FFFFFF" w:fill="4BACC6" w:themeFill="accent5"/>
      </w:tcPr>
    </w:tblStylePr>
    <w:tblStylePr w:type="lastCol">
      <w:rPr>
        <w:b/>
        <w:color w:val="404040"/>
      </w:rPr>
      <w:tblPr/>
    </w:tblStylePr>
    <w:tblStylePr w:type="lastRow">
      <w:rPr>
        <w:b/>
        <w:color w:val="404040"/>
      </w:rPr>
      <w:tblPr/>
    </w:tblStylePr>
  </w:style>
  <w:style w:type="table" w:styleId="966">
    <w:name w:val="List Table 4 - Accent 6"/>
    <w:basedOn w:val="1009"/>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blPr/>
      <w:tcPr>
        <w:shd w:val="clear" w:color="FFFFFF" w:fill="FCE4D1" w:themeFill="accent6" w:themeFillTint="40"/>
      </w:tcPr>
    </w:tblStylePr>
    <w:tblStylePr w:type="band1Vert">
      <w:rPr>
        <w:color w:val="404040"/>
        <w:sz w:val="22"/>
      </w:rPr>
      <w:tblPr/>
      <w:tcPr>
        <w:shd w:val="clear" w:color="FFFFFF" w:fill="FCE4D1" w:themeFill="accent6" w:themeFillTint="40"/>
      </w:tcPr>
    </w:tblStylePr>
    <w:tblStylePr w:type="firstCol">
      <w:rPr>
        <w:b/>
        <w:color w:val="404040"/>
      </w:rPr>
      <w:tblPr/>
    </w:tblStylePr>
    <w:tblStylePr w:type="firstRow">
      <w:rPr>
        <w:b/>
        <w:color w:val="FFFFFF"/>
        <w:sz w:val="22"/>
      </w:rPr>
      <w:tblPr/>
      <w:tcPr>
        <w:shd w:val="clear" w:color="FFFFFF" w:fill="F79646" w:themeFill="accent6"/>
      </w:tcPr>
    </w:tblStylePr>
    <w:tblStylePr w:type="lastCol">
      <w:rPr>
        <w:b/>
        <w:color w:val="404040"/>
      </w:rPr>
      <w:tblPr/>
    </w:tblStylePr>
    <w:tblStylePr w:type="lastRow">
      <w:rPr>
        <w:b/>
        <w:color w:val="404040"/>
      </w:rPr>
      <w:tblPr/>
    </w:tblStylePr>
  </w:style>
  <w:style w:type="table" w:styleId="967">
    <w:name w:val="List Table 5 Dark"/>
    <w:basedOn w:val="1009"/>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968">
    <w:name w:val="List Table 5 Dark - Accent 1"/>
    <w:basedOn w:val="1009"/>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F81BD" w:themeFill="accent1"/>
      </w:tcPr>
    </w:tblStylePr>
    <w:tblStylePr w:type="band1Vert">
      <w:tblPr/>
      <w:tcPr>
        <w:tcBorders>
          <w:left w:val="single" w:color="000000" w:themeColor="light1" w:sz="4" w:space="0"/>
          <w:right w:val="single" w:color="000000" w:themeColor="light1" w:sz="4" w:space="0"/>
        </w:tcBorders>
        <w:shd w:val="clear" w:color="FFFFFF" w:fill="4F81BD" w:themeFill="accent1"/>
      </w:tcPr>
    </w:tblStylePr>
    <w:tblStylePr w:type="band2Horz">
      <w:tblPr/>
      <w:tcPr>
        <w:tcBorders>
          <w:top w:val="single" w:color="000000" w:themeColor="light1" w:sz="4" w:space="0"/>
          <w:bottom w:val="single" w:color="000000" w:themeColor="light1" w:sz="4" w:space="0"/>
        </w:tcBorders>
        <w:shd w:val="clear" w:color="FFFFFF" w:fill="4F81BD"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1" w:sz="32" w:space="0"/>
          <w:right w:val="single" w:color="000000" w:themeColor="light1" w:sz="4" w:space="0"/>
        </w:tcBorders>
      </w:tcPr>
    </w:tblStylePr>
    <w:tblStylePr w:type="firstRow">
      <w:rPr>
        <w:b/>
        <w:color w:val="FFFFFF"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969">
    <w:name w:val="List Table 5 Dark - Accent 2"/>
    <w:basedOn w:val="1009"/>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D99694" w:themeFill="accent2" w:themeFillTint="97"/>
      </w:tcPr>
    </w:tblStylePr>
    <w:tblStylePr w:type="band1Vert">
      <w:tblPr/>
      <w:tcPr>
        <w:tcBorders>
          <w:left w:val="single" w:color="000000" w:themeColor="light1" w:sz="4" w:space="0"/>
          <w:right w:val="single" w:color="000000" w:themeColor="light1" w:sz="4" w:space="0"/>
        </w:tcBorders>
        <w:shd w:val="clear" w:color="FFFFFF" w:fill="D99694" w:themeFill="accent2" w:themeFillTint="97"/>
      </w:tcPr>
    </w:tblStylePr>
    <w:tblStylePr w:type="band2Horz">
      <w:tblPr/>
      <w:tcPr>
        <w:tcBorders>
          <w:top w:val="single" w:color="000000" w:themeColor="light1" w:sz="4" w:space="0"/>
          <w:bottom w:val="single" w:color="000000" w:themeColor="light1" w:sz="4" w:space="0"/>
        </w:tcBorders>
        <w:shd w:val="clear" w:color="FFFFFF" w:fill="D99694"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2" w:sz="32" w:space="0"/>
          <w:right w:val="single" w:color="000000" w:themeColor="light1" w:sz="4" w:space="0"/>
        </w:tcBorders>
      </w:tcPr>
    </w:tblStylePr>
    <w:tblStylePr w:type="firstRow">
      <w:rPr>
        <w:b/>
        <w:color w:val="FFFFFF" w:themeColor="light1"/>
        <w:sz w:val="22"/>
      </w:rPr>
      <w:tblPr/>
      <w:tcPr>
        <w:tcBorders>
          <w:top w:val="single" w:color="000000" w:themeColor="accent2" w:sz="32" w:space="0"/>
          <w:bottom w:val="single" w:color="000000" w:themeColor="light1" w:sz="12" w:space="0"/>
        </w:tcBorders>
        <w:shd w:val="clear" w:color="FFFFFF" w:fill="D99694"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970">
    <w:name w:val="List Table 5 Dark - Accent 3"/>
    <w:basedOn w:val="1009"/>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3D69B" w:themeFill="accent3" w:themeFillTint="98"/>
      </w:tcPr>
    </w:tblStylePr>
    <w:tblStylePr w:type="band1Vert">
      <w:tblPr/>
      <w:tcPr>
        <w:tcBorders>
          <w:left w:val="single" w:color="000000" w:themeColor="light1" w:sz="4" w:space="0"/>
          <w:right w:val="single" w:color="000000" w:themeColor="light1" w:sz="4" w:space="0"/>
        </w:tcBorders>
        <w:shd w:val="clear" w:color="FFFFFF" w:fill="C3D69B" w:themeFill="accent3" w:themeFillTint="98"/>
      </w:tcPr>
    </w:tblStylePr>
    <w:tblStylePr w:type="band2Horz">
      <w:tblPr/>
      <w:tcPr>
        <w:tcBorders>
          <w:top w:val="single" w:color="000000" w:themeColor="light1" w:sz="4" w:space="0"/>
          <w:bottom w:val="single" w:color="000000" w:themeColor="light1" w:sz="4" w:space="0"/>
        </w:tcBorders>
        <w:shd w:val="clear" w:color="FFFFFF" w:fill="C3D69B"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3" w:sz="32" w:space="0"/>
          <w:right w:val="single" w:color="000000" w:themeColor="light1" w:sz="4" w:space="0"/>
        </w:tcBorders>
      </w:tcPr>
    </w:tblStylePr>
    <w:tblStylePr w:type="firstRow">
      <w:rPr>
        <w:b/>
        <w:color w:val="FFFFFF" w:themeColor="light1"/>
        <w:sz w:val="22"/>
      </w:rPr>
      <w:tblPr/>
      <w:tcPr>
        <w:tcBorders>
          <w:top w:val="single" w:color="000000" w:themeColor="accent3" w:sz="32" w:space="0"/>
          <w:bottom w:val="single" w:color="000000" w:themeColor="light1" w:sz="12" w:space="0"/>
        </w:tcBorders>
        <w:shd w:val="clear" w:color="FFFFFF" w:fill="C3D69B"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971">
    <w:name w:val="List Table 5 Dark - Accent 4"/>
    <w:basedOn w:val="1009"/>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B2A1C6" w:themeFill="accent4" w:themeFillTint="9a"/>
      </w:tcPr>
    </w:tblStylePr>
    <w:tblStylePr w:type="band1Vert">
      <w:tblPr/>
      <w:tcPr>
        <w:tcBorders>
          <w:left w:val="single" w:color="000000" w:themeColor="light1" w:sz="4" w:space="0"/>
          <w:right w:val="single" w:color="000000" w:themeColor="light1" w:sz="4" w:space="0"/>
        </w:tcBorders>
        <w:shd w:val="clear" w:color="FFFFFF" w:fill="B2A1C6" w:themeFill="accent4" w:themeFillTint="9a"/>
      </w:tcPr>
    </w:tblStylePr>
    <w:tblStylePr w:type="band2Horz">
      <w:tblPr/>
      <w:tcPr>
        <w:tcBorders>
          <w:top w:val="single" w:color="000000" w:themeColor="light1" w:sz="4" w:space="0"/>
          <w:bottom w:val="single" w:color="000000" w:themeColor="light1" w:sz="4" w:space="0"/>
        </w:tcBorders>
        <w:shd w:val="clear" w:color="FFFFFF" w:fill="B2A1C6"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4" w:sz="32" w:space="0"/>
          <w:right w:val="single" w:color="000000" w:themeColor="light1" w:sz="4" w:space="0"/>
        </w:tcBorders>
      </w:tcPr>
    </w:tblStylePr>
    <w:tblStylePr w:type="firstRow">
      <w:rPr>
        <w:b/>
        <w:color w:val="FFFFFF" w:themeColor="light1"/>
        <w:sz w:val="22"/>
      </w:rPr>
      <w:tblPr/>
      <w:tcPr>
        <w:tcBorders>
          <w:top w:val="single" w:color="000000" w:themeColor="accent4" w:sz="32" w:space="0"/>
          <w:bottom w:val="single" w:color="000000" w:themeColor="light1" w:sz="12" w:space="0"/>
        </w:tcBorders>
        <w:shd w:val="clear" w:color="FFFFFF" w:fill="B2A1C6"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972">
    <w:name w:val="List Table 5 Dark - Accent 5"/>
    <w:basedOn w:val="1009"/>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1CDDC" w:themeFill="accent5" w:themeFillTint="9a"/>
      </w:tcPr>
    </w:tblStylePr>
    <w:tblStylePr w:type="band1Vert">
      <w:tblPr/>
      <w:tcPr>
        <w:tcBorders>
          <w:left w:val="single" w:color="000000" w:themeColor="light1" w:sz="4" w:space="0"/>
          <w:right w:val="single" w:color="000000" w:themeColor="light1" w:sz="4" w:space="0"/>
        </w:tcBorders>
        <w:shd w:val="clear" w:color="FFFFFF" w:fill="91CDDC" w:themeFill="accent5" w:themeFillTint="9a"/>
      </w:tcPr>
    </w:tblStylePr>
    <w:tblStylePr w:type="band2Horz">
      <w:tblPr/>
      <w:tcPr>
        <w:tcBorders>
          <w:top w:val="single" w:color="000000" w:themeColor="light1" w:sz="4" w:space="0"/>
          <w:bottom w:val="single" w:color="000000" w:themeColor="light1" w:sz="4" w:space="0"/>
        </w:tcBorders>
        <w:shd w:val="clear" w:color="FFFFFF" w:fill="91CDDC"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5" w:sz="32" w:space="0"/>
          <w:right w:val="single" w:color="000000" w:themeColor="light1" w:sz="4" w:space="0"/>
        </w:tcBorders>
      </w:tcPr>
    </w:tblStylePr>
    <w:tblStylePr w:type="firstRow">
      <w:rPr>
        <w:b/>
        <w:color w:val="FFFFFF" w:themeColor="light1"/>
        <w:sz w:val="22"/>
      </w:rPr>
      <w:tblPr/>
      <w:tcPr>
        <w:tcBorders>
          <w:top w:val="single" w:color="000000" w:themeColor="accent5" w:sz="32" w:space="0"/>
          <w:bottom w:val="single" w:color="000000" w:themeColor="light1" w:sz="12" w:space="0"/>
        </w:tcBorders>
        <w:shd w:val="clear" w:color="FFFFFF" w:fill="91CDDC"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973">
    <w:name w:val="List Table 5 Dark - Accent 6"/>
    <w:basedOn w:val="1009"/>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F9BF90" w:themeFill="accent6" w:themeFillTint="98"/>
      </w:tcPr>
    </w:tblStylePr>
    <w:tblStylePr w:type="band1Vert">
      <w:tblPr/>
      <w:tcPr>
        <w:tcBorders>
          <w:left w:val="single" w:color="000000" w:themeColor="light1" w:sz="4" w:space="0"/>
          <w:right w:val="single" w:color="000000" w:themeColor="light1" w:sz="4" w:space="0"/>
        </w:tcBorders>
        <w:shd w:val="clear" w:color="FFFFFF" w:fill="F9BF90" w:themeFill="accent6" w:themeFillTint="98"/>
      </w:tcPr>
    </w:tblStylePr>
    <w:tblStylePr w:type="band2Horz">
      <w:tblPr/>
      <w:tcPr>
        <w:tcBorders>
          <w:top w:val="single" w:color="000000" w:themeColor="light1" w:sz="4" w:space="0"/>
          <w:bottom w:val="single" w:color="000000" w:themeColor="light1" w:sz="4" w:space="0"/>
        </w:tcBorders>
        <w:shd w:val="clear" w:color="FFFFFF" w:fill="F9BF90"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6" w:sz="32" w:space="0"/>
          <w:right w:val="single" w:color="000000" w:themeColor="light1" w:sz="4" w:space="0"/>
        </w:tcBorders>
      </w:tcPr>
    </w:tblStylePr>
    <w:tblStylePr w:type="firstRow">
      <w:rPr>
        <w:b/>
        <w:color w:val="FFFFFF" w:themeColor="light1"/>
        <w:sz w:val="22"/>
      </w:rPr>
      <w:tblPr/>
      <w:tcPr>
        <w:tcBorders>
          <w:top w:val="single" w:color="000000" w:themeColor="accent6" w:sz="32" w:space="0"/>
          <w:bottom w:val="single" w:color="000000" w:themeColor="light1" w:sz="12" w:space="0"/>
        </w:tcBorders>
        <w:shd w:val="clear" w:color="FFFFFF" w:fill="F9BF90"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974">
    <w:name w:val="List Table 6 Colorful"/>
    <w:basedOn w:val="1009"/>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975">
    <w:name w:val="List Table 6 Colorful - Accent 1"/>
    <w:basedOn w:val="1009"/>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404040"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val="404040" w:themeColor="accent1" w:themeShade="95"/>
        <w:sz w:val="22"/>
      </w:rPr>
      <w:tblPr/>
    </w:tblStylePr>
    <w:tblStylePr w:type="firstCol">
      <w:rPr>
        <w:b/>
        <w:color w:val="2A4B71" w:themeColor="accent1" w:themeShade="95"/>
      </w:rPr>
      <w:tblPr/>
    </w:tblStylePr>
    <w:tblStylePr w:type="firstRow">
      <w:rPr>
        <w:b/>
        <w:color w:val="2A4B71" w:themeColor="accent1" w:themeShade="95"/>
      </w:rPr>
      <w:tblPr/>
      <w:tcPr>
        <w:tcBorders>
          <w:bottom w:val="single" w:color="000000" w:themeColor="accent1" w:sz="4" w:space="0"/>
        </w:tcBorders>
      </w:tcPr>
    </w:tblStylePr>
    <w:tblStylePr w:type="lastCol">
      <w:rPr>
        <w:b/>
        <w:color w:val="2A4B71" w:themeColor="accent1" w:themeShade="95"/>
      </w:rPr>
      <w:tblPr/>
    </w:tblStylePr>
    <w:tblStylePr w:type="lastRow">
      <w:rPr>
        <w:b/>
        <w:color w:val="2A4B71" w:themeColor="accent1" w:themeShade="95"/>
      </w:rPr>
      <w:tblPr/>
      <w:tcPr>
        <w:tcBorders>
          <w:top w:val="single" w:color="000000" w:themeColor="accent1" w:sz="4" w:space="0"/>
        </w:tcBorders>
      </w:tcPr>
    </w:tblStylePr>
  </w:style>
  <w:style w:type="table" w:styleId="976">
    <w:name w:val="List Table 6 Colorful - Accent 2"/>
    <w:basedOn w:val="1009"/>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404040" w:themeColor="accent2" w:themeTint="97" w:themeShade="95"/>
        <w:sz w:val="22"/>
      </w:rPr>
      <w:tblPr/>
    </w:tblStylePr>
    <w:tblStylePr w:type="firstCol">
      <w:rPr>
        <w:b/>
        <w:color w:val="9C3A37" w:themeColor="accent2" w:themeTint="97" w:themeShade="95"/>
      </w:rPr>
      <w:tblPr/>
    </w:tblStylePr>
    <w:tblStylePr w:type="firstRow">
      <w:rPr>
        <w:b/>
        <w:color w:val="9C3A37" w:themeColor="accent2" w:themeTint="97" w:themeShade="95"/>
      </w:rPr>
      <w:tblPr/>
      <w:tcPr>
        <w:tcBorders>
          <w:bottom w:val="single" w:color="000000" w:themeColor="accent2" w:sz="4" w:space="0"/>
        </w:tcBorders>
      </w:tcPr>
    </w:tblStylePr>
    <w:tblStylePr w:type="lastCol">
      <w:rPr>
        <w:b/>
        <w:color w:val="9C3A37" w:themeColor="accent2" w:themeTint="97" w:themeShade="95"/>
      </w:rPr>
      <w:tblPr/>
    </w:tblStylePr>
    <w:tblStylePr w:type="lastRow">
      <w:rPr>
        <w:b/>
        <w:color w:val="9C3A37" w:themeColor="accent2" w:themeTint="97" w:themeShade="95"/>
      </w:rPr>
      <w:tblPr/>
      <w:tcPr>
        <w:tcBorders>
          <w:top w:val="single" w:color="000000" w:themeColor="accent2" w:sz="4" w:space="0"/>
        </w:tcBorders>
      </w:tcPr>
    </w:tblStylePr>
  </w:style>
  <w:style w:type="table" w:styleId="977">
    <w:name w:val="List Table 6 Colorful - Accent 3"/>
    <w:basedOn w:val="1009"/>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404040" w:themeColor="accent3" w:themeTint="98" w:themeShade="95"/>
        <w:sz w:val="22"/>
      </w:rPr>
      <w:tblPr/>
    </w:tblStylePr>
    <w:tblStylePr w:type="firstCol">
      <w:rPr>
        <w:b/>
        <w:color w:val="7C983F" w:themeColor="accent3" w:themeTint="98" w:themeShade="95"/>
      </w:rPr>
      <w:tblPr/>
    </w:tblStylePr>
    <w:tblStylePr w:type="firstRow">
      <w:rPr>
        <w:b/>
        <w:color w:val="7C983F" w:themeColor="accent3" w:themeTint="98" w:themeShade="95"/>
      </w:rPr>
      <w:tblPr/>
      <w:tcPr>
        <w:tcBorders>
          <w:bottom w:val="single" w:color="000000" w:themeColor="accent3" w:sz="4" w:space="0"/>
        </w:tcBorders>
      </w:tcPr>
    </w:tblStylePr>
    <w:tblStylePr w:type="lastCol">
      <w:rPr>
        <w:b/>
        <w:color w:val="7C983F" w:themeColor="accent3" w:themeTint="98" w:themeShade="95"/>
      </w:rPr>
      <w:tblPr/>
    </w:tblStylePr>
    <w:tblStylePr w:type="lastRow">
      <w:rPr>
        <w:b/>
        <w:color w:val="7C983F" w:themeColor="accent3" w:themeTint="98" w:themeShade="95"/>
      </w:rPr>
      <w:tblPr/>
      <w:tcPr>
        <w:tcBorders>
          <w:top w:val="single" w:color="000000" w:themeColor="accent3" w:sz="4" w:space="0"/>
        </w:tcBorders>
      </w:tcPr>
    </w:tblStylePr>
  </w:style>
  <w:style w:type="table" w:styleId="978">
    <w:name w:val="List Table 6 Colorful - Accent 4"/>
    <w:basedOn w:val="1009"/>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val="404040" w:themeColor="accent4" w:themeTint="9a" w:themeShade="95"/>
        <w:sz w:val="22"/>
      </w:rPr>
      <w:tblPr/>
    </w:tblStylePr>
    <w:tblStylePr w:type="firstCol">
      <w:rPr>
        <w:b/>
        <w:color w:val="664F82" w:themeColor="accent4" w:themeTint="9a" w:themeShade="95"/>
      </w:rPr>
      <w:tblPr/>
    </w:tblStylePr>
    <w:tblStylePr w:type="firstRow">
      <w:rPr>
        <w:b/>
        <w:color w:val="664F82" w:themeColor="accent4" w:themeTint="9a" w:themeShade="95"/>
      </w:rPr>
      <w:tblPr/>
      <w:tcPr>
        <w:tcBorders>
          <w:bottom w:val="single" w:color="000000" w:themeColor="accent4" w:sz="4" w:space="0"/>
        </w:tcBorders>
      </w:tcPr>
    </w:tblStylePr>
    <w:tblStylePr w:type="lastCol">
      <w:rPr>
        <w:b/>
        <w:color w:val="664F82" w:themeColor="accent4" w:themeTint="9a" w:themeShade="95"/>
      </w:rPr>
      <w:tblPr/>
    </w:tblStylePr>
    <w:tblStylePr w:type="lastRow">
      <w:rPr>
        <w:b/>
        <w:color w:val="664F82" w:themeColor="accent4" w:themeTint="9a" w:themeShade="95"/>
      </w:rPr>
      <w:tblPr/>
      <w:tcPr>
        <w:tcBorders>
          <w:top w:val="single" w:color="000000" w:themeColor="accent4" w:sz="4" w:space="0"/>
        </w:tcBorders>
      </w:tcPr>
    </w:tblStylePr>
  </w:style>
  <w:style w:type="table" w:styleId="979">
    <w:name w:val="List Table 6 Colorful - Accent 5"/>
    <w:basedOn w:val="1009"/>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val="404040" w:themeColor="accent5" w:themeTint="9a" w:themeShade="95"/>
        <w:sz w:val="22"/>
      </w:rPr>
      <w:tblPr/>
    </w:tblStylePr>
    <w:tblStylePr w:type="firstCol">
      <w:rPr>
        <w:b/>
        <w:color w:val="338AA0" w:themeColor="accent5" w:themeTint="9a" w:themeShade="95"/>
      </w:rPr>
      <w:tblPr/>
    </w:tblStylePr>
    <w:tblStylePr w:type="firstRow">
      <w:rPr>
        <w:b/>
        <w:color w:val="338AA0" w:themeColor="accent5" w:themeTint="9a" w:themeShade="95"/>
      </w:rPr>
      <w:tblPr/>
      <w:tcPr>
        <w:tcBorders>
          <w:bottom w:val="single" w:color="000000" w:themeColor="accent5" w:sz="4" w:space="0"/>
        </w:tcBorders>
      </w:tcPr>
    </w:tblStylePr>
    <w:tblStylePr w:type="lastCol">
      <w:rPr>
        <w:b/>
        <w:color w:val="338AA0" w:themeColor="accent5" w:themeTint="9a" w:themeShade="95"/>
      </w:rPr>
      <w:tblPr/>
    </w:tblStylePr>
    <w:tblStylePr w:type="lastRow">
      <w:rPr>
        <w:b/>
        <w:color w:val="338AA0" w:themeColor="accent5" w:themeTint="9a" w:themeShade="95"/>
      </w:rPr>
      <w:tblPr/>
      <w:tcPr>
        <w:tcBorders>
          <w:top w:val="single" w:color="000000" w:themeColor="accent5" w:sz="4" w:space="0"/>
        </w:tcBorders>
      </w:tcPr>
    </w:tblStylePr>
  </w:style>
  <w:style w:type="table" w:styleId="980">
    <w:name w:val="List Table 6 Colorful - Accent 6"/>
    <w:basedOn w:val="1009"/>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val="404040" w:themeColor="accent6" w:themeTint="98" w:themeShade="95"/>
        <w:sz w:val="22"/>
      </w:rPr>
      <w:tblPr/>
    </w:tblStylePr>
    <w:tblStylePr w:type="firstCol">
      <w:rPr>
        <w:b/>
        <w:color w:val="D9680C" w:themeColor="accent6" w:themeTint="98" w:themeShade="95"/>
      </w:rPr>
      <w:tblPr/>
    </w:tblStylePr>
    <w:tblStylePr w:type="firstRow">
      <w:rPr>
        <w:b/>
        <w:color w:val="D9680C" w:themeColor="accent6" w:themeTint="98" w:themeShade="95"/>
      </w:rPr>
      <w:tblPr/>
      <w:tcPr>
        <w:tcBorders>
          <w:bottom w:val="single" w:color="000000" w:themeColor="accent6" w:sz="4" w:space="0"/>
        </w:tcBorders>
      </w:tcPr>
    </w:tblStylePr>
    <w:tblStylePr w:type="lastCol">
      <w:rPr>
        <w:b/>
        <w:color w:val="D9680C" w:themeColor="accent6" w:themeTint="98" w:themeShade="95"/>
      </w:rPr>
      <w:tblPr/>
    </w:tblStylePr>
    <w:tblStylePr w:type="lastRow">
      <w:rPr>
        <w:b/>
        <w:color w:val="D9680C" w:themeColor="accent6" w:themeTint="98" w:themeShade="95"/>
      </w:rPr>
      <w:tblPr/>
      <w:tcPr>
        <w:tcBorders>
          <w:top w:val="single" w:color="000000" w:themeColor="accent6" w:sz="4" w:space="0"/>
        </w:tcBorders>
      </w:tcPr>
    </w:tblStylePr>
  </w:style>
  <w:style w:type="table" w:styleId="981">
    <w:name w:val="List Table 7 Colorful"/>
    <w:basedOn w:val="1009"/>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i/>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i/>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wholeTable">
      <w:rPr>
        <w:color w:val="4A4A4A" w:themeColor="text1" w:themeTint="80" w:themeShade="95"/>
        <w:sz w:val="22"/>
      </w:rPr>
      <w:tblPr/>
    </w:tblStylePr>
  </w:style>
  <w:style w:type="table" w:styleId="982">
    <w:name w:val="List Table 7 Colorful - Accent 1"/>
    <w:basedOn w:val="1009"/>
    <w:uiPriority w:val="99"/>
    <w:pPr>
      <w:spacing w:after="0" w:line="240" w:lineRule="auto"/>
    </w:pPr>
    <w:tblPr>
      <w:tblStyleRowBandSize w:val="1"/>
      <w:tblStyleColBandSize w:val="1"/>
      <w:tblBorders>
        <w:right w:val="single" w:color="000000" w:themeColor="accent1" w:sz="4" w:space="0"/>
      </w:tblBorders>
    </w:tblPr>
    <w:tblStylePr w:type="band1Horz">
      <w:rPr>
        <w:color w:val="2A4B71"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val="2A4B71" w:themeColor="accent1" w:themeShade="95"/>
        <w:sz w:val="22"/>
      </w:rPr>
      <w:tblPr/>
    </w:tblStylePr>
    <w:tblStylePr w:type="firstCol">
      <w:pPr>
        <w:jc w:val="right"/>
      </w:pPr>
      <w:rPr>
        <w:i/>
        <w:color w:val="2A4B71" w:themeColor="accent1"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i/>
        <w:color w:val="2A4B71" w:themeColor="accent1"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2A4B71" w:themeColor="accent1"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i/>
        <w:color w:val="2A4B71" w:themeColor="accent1"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wholeTable">
      <w:rPr>
        <w:color w:val="2A4B71" w:themeColor="accent1" w:themeShade="95"/>
        <w:sz w:val="22"/>
      </w:rPr>
      <w:tblPr/>
    </w:tblStylePr>
  </w:style>
  <w:style w:type="table" w:styleId="983">
    <w:name w:val="List Table 7 Colorful - Accent 2"/>
    <w:basedOn w:val="1009"/>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9C3A37"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9C3A37" w:themeColor="accent2" w:themeTint="97" w:themeShade="95"/>
        <w:sz w:val="22"/>
      </w:rPr>
      <w:tblPr/>
    </w:tblStylePr>
    <w:tblStylePr w:type="firstCol">
      <w:pPr>
        <w:jc w:val="right"/>
      </w:pPr>
      <w:rPr>
        <w:i/>
        <w:color w:val="9C3A37"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i/>
        <w:color w:val="9C3A37"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9C3A37"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i/>
        <w:color w:val="9C3A37"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wholeTable">
      <w:rPr>
        <w:color w:val="9C3A37" w:themeColor="accent2" w:themeTint="97" w:themeShade="95"/>
        <w:sz w:val="22"/>
      </w:rPr>
      <w:tblPr/>
    </w:tblStylePr>
  </w:style>
  <w:style w:type="table" w:styleId="984">
    <w:name w:val="List Table 7 Colorful - Accent 3"/>
    <w:basedOn w:val="1009"/>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7C983F"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7C983F" w:themeColor="accent3" w:themeTint="98" w:themeShade="95"/>
        <w:sz w:val="22"/>
      </w:rPr>
      <w:tblPr/>
    </w:tblStylePr>
    <w:tblStylePr w:type="firstCol">
      <w:pPr>
        <w:jc w:val="right"/>
      </w:pPr>
      <w:rPr>
        <w:i/>
        <w:color w:val="7C983F" w:themeColor="accent3" w:themeTint="98"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i/>
        <w:color w:val="7C983F" w:themeColor="accent3" w:themeTint="98"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7C983F" w:themeColor="accent3" w:themeTint="98"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i/>
        <w:color w:val="7C983F" w:themeColor="accent3" w:themeTint="98"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wholeTable">
      <w:rPr>
        <w:color w:val="7C983F" w:themeColor="accent3" w:themeTint="98" w:themeShade="95"/>
        <w:sz w:val="22"/>
      </w:rPr>
      <w:tblPr/>
    </w:tblStylePr>
  </w:style>
  <w:style w:type="table" w:styleId="985">
    <w:name w:val="List Table 7 Colorful - Accent 4"/>
    <w:basedOn w:val="1009"/>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664F82"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val="664F82" w:themeColor="accent4" w:themeTint="9a" w:themeShade="95"/>
        <w:sz w:val="22"/>
      </w:rPr>
      <w:tblPr/>
    </w:tblStylePr>
    <w:tblStylePr w:type="firstCol">
      <w:pPr>
        <w:jc w:val="right"/>
      </w:pPr>
      <w:rPr>
        <w:i/>
        <w:color w:val="664F82"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i/>
        <w:color w:val="664F82"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664F82"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i/>
        <w:color w:val="664F82"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wholeTable">
      <w:rPr>
        <w:color w:val="664F82" w:themeColor="accent4" w:themeTint="9a" w:themeShade="95"/>
        <w:sz w:val="22"/>
      </w:rPr>
      <w:tblPr/>
    </w:tblStylePr>
  </w:style>
  <w:style w:type="table" w:styleId="986">
    <w:name w:val="List Table 7 Colorful - Accent 5"/>
    <w:basedOn w:val="1009"/>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338AA0"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val="338AA0" w:themeColor="accent5" w:themeTint="9a" w:themeShade="95"/>
        <w:sz w:val="22"/>
      </w:rPr>
      <w:tblPr/>
    </w:tblStylePr>
    <w:tblStylePr w:type="firstCol">
      <w:pPr>
        <w:jc w:val="right"/>
      </w:pPr>
      <w:rPr>
        <w:i/>
        <w:color w:val="338AA0" w:themeColor="accent5" w:themeTint="9a"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i/>
        <w:color w:val="338AA0" w:themeColor="accent5" w:themeTint="9a"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338AA0" w:themeColor="accent5" w:themeTint="9a"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i/>
        <w:color w:val="338AA0" w:themeColor="accent5" w:themeTint="9a"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wholeTable">
      <w:rPr>
        <w:color w:val="338AA0" w:themeColor="accent5" w:themeTint="9a" w:themeShade="95"/>
        <w:sz w:val="22"/>
      </w:rPr>
      <w:tblPr/>
    </w:tblStylePr>
  </w:style>
  <w:style w:type="table" w:styleId="987">
    <w:name w:val="List Table 7 Colorful - Accent 6"/>
    <w:basedOn w:val="1009"/>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D9680C"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val="D9680C" w:themeColor="accent6" w:themeTint="98" w:themeShade="95"/>
        <w:sz w:val="22"/>
      </w:rPr>
      <w:tblPr/>
    </w:tblStylePr>
    <w:tblStylePr w:type="firstCol">
      <w:pPr>
        <w:jc w:val="right"/>
      </w:pPr>
      <w:rPr>
        <w:i/>
        <w:color w:val="D9680C" w:themeColor="accent6" w:themeTint="98"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i/>
        <w:color w:val="D9680C" w:themeColor="accent6" w:themeTint="98"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D9680C" w:themeColor="accent6" w:themeTint="98"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i/>
        <w:color w:val="D9680C" w:themeColor="accent6" w:themeTint="98"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wholeTable">
      <w:rPr>
        <w:color w:val="D9680C" w:themeColor="accent6" w:themeTint="98" w:themeShade="95"/>
        <w:sz w:val="22"/>
      </w:rPr>
      <w:tblPr/>
    </w:tblStylePr>
  </w:style>
  <w:style w:type="table" w:styleId="988">
    <w:name w:val="Lined - Accent"/>
    <w:basedOn w:val="1009"/>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0"/>
      </w:tcPr>
    </w:tblStylePr>
    <w:tblStylePr w:type="band2Vert">
      <w:rPr>
        <w:color w:val="404040"/>
        <w:sz w:val="22"/>
      </w:rPr>
      <w:tblPr/>
      <w:tcPr>
        <w:shd w:val="clear" w:color="FFFFFF" w:fill="F2F2F2" w:themeFill="text1" w:themeFillTint="0"/>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989">
    <w:name w:val="Lined - Accent 1"/>
    <w:basedOn w:val="1009"/>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7D7EA" w:themeFill="accent1" w:themeFillTint="50"/>
      </w:tcPr>
    </w:tblStylePr>
    <w:tblStylePr w:type="band2Vert">
      <w:rPr>
        <w:color w:val="404040"/>
        <w:sz w:val="22"/>
      </w:rPr>
      <w:tblPr/>
      <w:tcPr>
        <w:shd w:val="clear" w:color="FFFFFF" w:fill="C7D7EA" w:themeFill="accent1" w:themeFillTint="50"/>
      </w:tcPr>
    </w:tblStylePr>
    <w:tblStylePr w:type="firstCol">
      <w:rPr>
        <w:color w:val="F2F2F2"/>
        <w:sz w:val="22"/>
      </w:rPr>
      <w:tblPr/>
      <w:tcPr>
        <w:shd w:val="clear" w:color="FFFFFF" w:fill="5D8DC2" w:themeFill="accent1" w:themeFillTint="ea"/>
      </w:tcPr>
    </w:tblStylePr>
    <w:tblStylePr w:type="firstRow">
      <w:rPr>
        <w:color w:val="F2F2F2"/>
        <w:sz w:val="22"/>
      </w:rPr>
      <w:tblPr/>
      <w:tcPr>
        <w:shd w:val="clear" w:color="FFFFFF" w:fill="5D8DC2" w:themeFill="accent1" w:themeFillTint="ea"/>
      </w:tcPr>
    </w:tblStylePr>
    <w:tblStylePr w:type="lastCol">
      <w:rPr>
        <w:color w:val="F2F2F2"/>
        <w:sz w:val="22"/>
      </w:rPr>
      <w:tblPr/>
      <w:tcPr>
        <w:shd w:val="clear" w:color="FFFFFF" w:fill="5D8DC2" w:themeFill="accent1" w:themeFillTint="ea"/>
      </w:tcPr>
    </w:tblStylePr>
    <w:tblStylePr w:type="lastRow">
      <w:rPr>
        <w:color w:val="F2F2F2"/>
        <w:sz w:val="22"/>
      </w:rPr>
      <w:tblPr/>
      <w:tcPr>
        <w:shd w:val="clear" w:color="FFFFFF" w:fill="5D8DC2" w:themeFill="accent1" w:themeFillTint="ea"/>
      </w:tcPr>
    </w:tblStylePr>
  </w:style>
  <w:style w:type="table" w:styleId="990">
    <w:name w:val="Lined - Accent 2"/>
    <w:basedOn w:val="1009"/>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DCDB" w:themeFill="accent2" w:themeFillTint="32"/>
      </w:tcPr>
    </w:tblStylePr>
    <w:tblStylePr w:type="band2Vert">
      <w:rPr>
        <w:color w:val="404040"/>
        <w:sz w:val="22"/>
      </w:rPr>
      <w:tblPr/>
      <w:tcPr>
        <w:shd w:val="clear" w:color="FFFFFF" w:fill="F2DCDB" w:themeFill="accent2" w:themeFillTint="32"/>
      </w:tcPr>
    </w:tblStylePr>
    <w:tblStylePr w:type="firstCol">
      <w:rPr>
        <w:color w:val="F2F2F2"/>
        <w:sz w:val="22"/>
      </w:rPr>
      <w:tblPr/>
      <w:tcPr>
        <w:shd w:val="clear" w:color="FFFFFF" w:fill="D99694" w:themeFill="accent2" w:themeFillTint="97"/>
      </w:tcPr>
    </w:tblStylePr>
    <w:tblStylePr w:type="firstRow">
      <w:rPr>
        <w:color w:val="F2F2F2"/>
        <w:sz w:val="22"/>
      </w:rPr>
      <w:tblPr/>
      <w:tcPr>
        <w:shd w:val="clear" w:color="FFFFFF" w:fill="D99694" w:themeFill="accent2" w:themeFillTint="97"/>
      </w:tcPr>
    </w:tblStylePr>
    <w:tblStylePr w:type="lastCol">
      <w:rPr>
        <w:color w:val="F2F2F2"/>
        <w:sz w:val="22"/>
      </w:rPr>
      <w:tblPr/>
      <w:tcPr>
        <w:shd w:val="clear" w:color="FFFFFF" w:fill="D99694" w:themeFill="accent2" w:themeFillTint="97"/>
      </w:tcPr>
    </w:tblStylePr>
    <w:tblStylePr w:type="lastRow">
      <w:rPr>
        <w:color w:val="F2F2F2"/>
        <w:sz w:val="22"/>
      </w:rPr>
      <w:tblPr/>
      <w:tcPr>
        <w:shd w:val="clear" w:color="FFFFFF" w:fill="D99694" w:themeFill="accent2" w:themeFillTint="97"/>
      </w:tcPr>
    </w:tblStylePr>
  </w:style>
  <w:style w:type="table" w:styleId="991">
    <w:name w:val="Lined - Accent 3"/>
    <w:basedOn w:val="1009"/>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AF0DD" w:themeFill="accent3" w:themeFillTint="34"/>
      </w:tcPr>
    </w:tblStylePr>
    <w:tblStylePr w:type="band2Vert">
      <w:rPr>
        <w:color w:val="404040"/>
        <w:sz w:val="22"/>
      </w:rPr>
      <w:tblPr/>
      <w:tcPr>
        <w:shd w:val="clear" w:color="FFFFFF" w:fill="EAF0DD" w:themeFill="accent3" w:themeFillTint="34"/>
      </w:tcPr>
    </w:tblStylePr>
    <w:tblStylePr w:type="firstCol">
      <w:rPr>
        <w:color w:val="F2F2F2"/>
        <w:sz w:val="22"/>
      </w:rPr>
      <w:tblPr/>
      <w:tcPr>
        <w:shd w:val="clear" w:color="FFFFFF" w:fill="9BBA59" w:themeFill="accent3" w:themeFillTint="fe"/>
      </w:tcPr>
    </w:tblStylePr>
    <w:tblStylePr w:type="firstRow">
      <w:rPr>
        <w:color w:val="F2F2F2"/>
        <w:sz w:val="22"/>
      </w:rPr>
      <w:tblPr/>
      <w:tcPr>
        <w:shd w:val="clear" w:color="FFFFFF" w:fill="9BBA59" w:themeFill="accent3" w:themeFillTint="fe"/>
      </w:tcPr>
    </w:tblStylePr>
    <w:tblStylePr w:type="lastCol">
      <w:rPr>
        <w:color w:val="F2F2F2"/>
        <w:sz w:val="22"/>
      </w:rPr>
      <w:tblPr/>
      <w:tcPr>
        <w:shd w:val="clear" w:color="FFFFFF" w:fill="9BBA59" w:themeFill="accent3" w:themeFillTint="fe"/>
      </w:tcPr>
    </w:tblStylePr>
    <w:tblStylePr w:type="lastRow">
      <w:rPr>
        <w:color w:val="F2F2F2"/>
        <w:sz w:val="22"/>
      </w:rPr>
      <w:tblPr/>
      <w:tcPr>
        <w:shd w:val="clear" w:color="FFFFFF" w:fill="9BBA59" w:themeFill="accent3" w:themeFillTint="fe"/>
      </w:tcPr>
    </w:tblStylePr>
  </w:style>
  <w:style w:type="table" w:styleId="992">
    <w:name w:val="Lined - Accent 4"/>
    <w:basedOn w:val="1009"/>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5DFEC" w:themeFill="accent4" w:themeFillTint="34"/>
      </w:tcPr>
    </w:tblStylePr>
    <w:tblStylePr w:type="band2Vert">
      <w:rPr>
        <w:color w:val="404040"/>
        <w:sz w:val="22"/>
      </w:rPr>
      <w:tblPr/>
      <w:tcPr>
        <w:shd w:val="clear" w:color="FFFFFF" w:fill="E5DFEC" w:themeFill="accent4" w:themeFillTint="34"/>
      </w:tcPr>
    </w:tblStylePr>
    <w:tblStylePr w:type="firstCol">
      <w:rPr>
        <w:color w:val="F2F2F2"/>
        <w:sz w:val="22"/>
      </w:rPr>
      <w:tblPr/>
      <w:tcPr>
        <w:shd w:val="clear" w:color="FFFFFF" w:fill="B2A1C6" w:themeFill="accent4" w:themeFillTint="9a"/>
      </w:tcPr>
    </w:tblStylePr>
    <w:tblStylePr w:type="firstRow">
      <w:rPr>
        <w:color w:val="F2F2F2"/>
        <w:sz w:val="22"/>
      </w:rPr>
      <w:tblPr/>
      <w:tcPr>
        <w:shd w:val="clear" w:color="FFFFFF" w:fill="B2A1C6" w:themeFill="accent4" w:themeFillTint="9a"/>
      </w:tcPr>
    </w:tblStylePr>
    <w:tblStylePr w:type="lastCol">
      <w:rPr>
        <w:color w:val="F2F2F2"/>
        <w:sz w:val="22"/>
      </w:rPr>
      <w:tblPr/>
      <w:tcPr>
        <w:shd w:val="clear" w:color="FFFFFF" w:fill="B2A1C6" w:themeFill="accent4" w:themeFillTint="9a"/>
      </w:tcPr>
    </w:tblStylePr>
    <w:tblStylePr w:type="lastRow">
      <w:rPr>
        <w:color w:val="F2F2F2"/>
        <w:sz w:val="22"/>
      </w:rPr>
      <w:tblPr/>
      <w:tcPr>
        <w:shd w:val="clear" w:color="FFFFFF" w:fill="B2A1C6" w:themeFill="accent4" w:themeFillTint="9a"/>
      </w:tcPr>
    </w:tblStylePr>
  </w:style>
  <w:style w:type="table" w:styleId="993">
    <w:name w:val="Lined - Accent 5"/>
    <w:basedOn w:val="1009"/>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AEEF3" w:themeFill="accent5" w:themeFillTint="34"/>
      </w:tcPr>
    </w:tblStylePr>
    <w:tblStylePr w:type="band2Vert">
      <w:rPr>
        <w:color w:val="404040"/>
        <w:sz w:val="22"/>
      </w:rPr>
      <w:tblPr/>
      <w:tcPr>
        <w:shd w:val="clear" w:color="FFFFFF" w:fill="DAEEF3" w:themeFill="accent5" w:themeFillTint="34"/>
      </w:tcPr>
    </w:tblStylePr>
    <w:tblStylePr w:type="firstCol">
      <w:rPr>
        <w:color w:val="F2F2F2"/>
        <w:sz w:val="22"/>
      </w:rPr>
      <w:tblPr/>
      <w:tcPr>
        <w:shd w:val="clear" w:color="FFFFFF" w:fill="4BACC6" w:themeFill="accent5"/>
      </w:tcPr>
    </w:tblStylePr>
    <w:tblStylePr w:type="firstRow">
      <w:rPr>
        <w:color w:val="F2F2F2"/>
        <w:sz w:val="22"/>
      </w:rPr>
      <w:tblPr/>
      <w:tcPr>
        <w:shd w:val="clear" w:color="FFFFFF" w:fill="4BACC6" w:themeFill="accent5"/>
      </w:tcPr>
    </w:tblStylePr>
    <w:tblStylePr w:type="lastCol">
      <w:rPr>
        <w:color w:val="F2F2F2"/>
        <w:sz w:val="22"/>
      </w:rPr>
      <w:tblPr/>
      <w:tcPr>
        <w:shd w:val="clear" w:color="FFFFFF" w:fill="4BACC6" w:themeFill="accent5"/>
      </w:tcPr>
    </w:tblStylePr>
    <w:tblStylePr w:type="lastRow">
      <w:rPr>
        <w:color w:val="F2F2F2"/>
        <w:sz w:val="22"/>
      </w:rPr>
      <w:tblPr/>
      <w:tcPr>
        <w:shd w:val="clear" w:color="FFFFFF" w:fill="4BACC6" w:themeFill="accent5"/>
      </w:tcPr>
    </w:tblStylePr>
  </w:style>
  <w:style w:type="table" w:styleId="994">
    <w:name w:val="Lined - Accent 6"/>
    <w:basedOn w:val="1009"/>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DE9D8" w:themeFill="accent6" w:themeFillTint="34"/>
      </w:tcPr>
    </w:tblStylePr>
    <w:tblStylePr w:type="band2Vert">
      <w:rPr>
        <w:color w:val="404040"/>
        <w:sz w:val="22"/>
      </w:rPr>
      <w:tblPr/>
      <w:tcPr>
        <w:shd w:val="clear" w:color="FFFFFF" w:fill="FDE9D8" w:themeFill="accent6" w:themeFillTint="34"/>
      </w:tcPr>
    </w:tblStylePr>
    <w:tblStylePr w:type="firstCol">
      <w:rPr>
        <w:color w:val="F2F2F2"/>
        <w:sz w:val="22"/>
      </w:rPr>
      <w:tblPr/>
      <w:tcPr>
        <w:shd w:val="clear" w:color="FFFFFF" w:fill="F79646" w:themeFill="accent6"/>
      </w:tcPr>
    </w:tblStylePr>
    <w:tblStylePr w:type="firstRow">
      <w:rPr>
        <w:color w:val="F2F2F2"/>
        <w:sz w:val="22"/>
      </w:rPr>
      <w:tblPr/>
      <w:tcPr>
        <w:shd w:val="clear" w:color="FFFFFF" w:fill="F79646" w:themeFill="accent6"/>
      </w:tcPr>
    </w:tblStylePr>
    <w:tblStylePr w:type="lastCol">
      <w:rPr>
        <w:color w:val="F2F2F2"/>
        <w:sz w:val="22"/>
      </w:rPr>
      <w:tblPr/>
      <w:tcPr>
        <w:shd w:val="clear" w:color="FFFFFF" w:fill="F79646" w:themeFill="accent6"/>
      </w:tcPr>
    </w:tblStylePr>
    <w:tblStylePr w:type="lastRow">
      <w:rPr>
        <w:color w:val="F2F2F2"/>
        <w:sz w:val="22"/>
      </w:rPr>
      <w:tblPr/>
      <w:tcPr>
        <w:shd w:val="clear" w:color="FFFFFF" w:fill="F79646" w:themeFill="accent6"/>
      </w:tcPr>
    </w:tblStylePr>
  </w:style>
  <w:style w:type="table" w:styleId="995">
    <w:name w:val="Bordered &amp; Lined - Accent"/>
    <w:basedOn w:val="1009"/>
    <w:uiPriority w:val="99"/>
    <w:pPr>
      <w:spacing w:after="0" w:line="240" w:lineRule="auto"/>
    </w:pPr>
    <w:rPr>
      <w:color w:val="404040"/>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0"/>
      </w:tcPr>
    </w:tblStylePr>
    <w:tblStylePr w:type="band2Vert">
      <w:rPr>
        <w:color w:val="404040"/>
        <w:sz w:val="22"/>
      </w:rPr>
      <w:tblPr/>
      <w:tcPr>
        <w:shd w:val="clear" w:color="FFFFFF" w:fill="F2F2F2" w:themeFill="text1" w:themeFillTint="0"/>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996">
    <w:name w:val="Bordered &amp; Lined - Accent 1"/>
    <w:basedOn w:val="1009"/>
    <w:uiPriority w:val="99"/>
    <w:pPr>
      <w:spacing w:after="0" w:line="240" w:lineRule="auto"/>
    </w:pPr>
    <w:rPr>
      <w:color w:val="404040"/>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7D7EA" w:themeFill="accent1" w:themeFillTint="50"/>
      </w:tcPr>
    </w:tblStylePr>
    <w:tblStylePr w:type="band2Vert">
      <w:rPr>
        <w:color w:val="404040"/>
        <w:sz w:val="22"/>
      </w:rPr>
      <w:tblPr/>
      <w:tcPr>
        <w:shd w:val="clear" w:color="FFFFFF" w:fill="C7D7EA" w:themeFill="accent1" w:themeFillTint="50"/>
      </w:tcPr>
    </w:tblStylePr>
    <w:tblStylePr w:type="firstCol">
      <w:rPr>
        <w:color w:val="F2F2F2"/>
        <w:sz w:val="22"/>
      </w:rPr>
      <w:tblPr/>
      <w:tcPr>
        <w:shd w:val="clear" w:color="FFFFFF" w:fill="5D8DC2" w:themeFill="accent1" w:themeFillTint="ea"/>
      </w:tcPr>
    </w:tblStylePr>
    <w:tblStylePr w:type="firstRow">
      <w:rPr>
        <w:color w:val="F2F2F2"/>
        <w:sz w:val="22"/>
      </w:rPr>
      <w:tblPr/>
      <w:tcPr>
        <w:shd w:val="clear" w:color="FFFFFF" w:fill="5D8DC2" w:themeFill="accent1" w:themeFillTint="ea"/>
      </w:tcPr>
    </w:tblStylePr>
    <w:tblStylePr w:type="lastCol">
      <w:rPr>
        <w:color w:val="F2F2F2"/>
        <w:sz w:val="22"/>
      </w:rPr>
      <w:tblPr/>
      <w:tcPr>
        <w:shd w:val="clear" w:color="FFFFFF" w:fill="5D8DC2" w:themeFill="accent1" w:themeFillTint="ea"/>
      </w:tcPr>
    </w:tblStylePr>
    <w:tblStylePr w:type="lastRow">
      <w:rPr>
        <w:color w:val="F2F2F2"/>
        <w:sz w:val="22"/>
      </w:rPr>
      <w:tblPr/>
      <w:tcPr>
        <w:shd w:val="clear" w:color="FFFFFF" w:fill="5D8DC2" w:themeFill="accent1" w:themeFillTint="ea"/>
      </w:tcPr>
    </w:tblStylePr>
  </w:style>
  <w:style w:type="table" w:styleId="997">
    <w:name w:val="Bordered &amp; Lined - Accent 2"/>
    <w:basedOn w:val="1009"/>
    <w:uiPriority w:val="99"/>
    <w:pPr>
      <w:spacing w:after="0" w:line="240" w:lineRule="auto"/>
    </w:pPr>
    <w:rPr>
      <w:color w:val="404040"/>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DCDB" w:themeFill="accent2" w:themeFillTint="32"/>
      </w:tcPr>
    </w:tblStylePr>
    <w:tblStylePr w:type="band2Vert">
      <w:rPr>
        <w:color w:val="404040"/>
        <w:sz w:val="22"/>
      </w:rPr>
      <w:tblPr/>
      <w:tcPr>
        <w:shd w:val="clear" w:color="FFFFFF" w:fill="F2DCDB" w:themeFill="accent2" w:themeFillTint="32"/>
      </w:tcPr>
    </w:tblStylePr>
    <w:tblStylePr w:type="firstCol">
      <w:rPr>
        <w:color w:val="F2F2F2"/>
        <w:sz w:val="22"/>
      </w:rPr>
      <w:tblPr/>
      <w:tcPr>
        <w:shd w:val="clear" w:color="FFFFFF" w:fill="D99694" w:themeFill="accent2" w:themeFillTint="97"/>
      </w:tcPr>
    </w:tblStylePr>
    <w:tblStylePr w:type="firstRow">
      <w:rPr>
        <w:color w:val="F2F2F2"/>
        <w:sz w:val="22"/>
      </w:rPr>
      <w:tblPr/>
      <w:tcPr>
        <w:shd w:val="clear" w:color="FFFFFF" w:fill="D99694" w:themeFill="accent2" w:themeFillTint="97"/>
      </w:tcPr>
    </w:tblStylePr>
    <w:tblStylePr w:type="lastCol">
      <w:rPr>
        <w:color w:val="F2F2F2"/>
        <w:sz w:val="22"/>
      </w:rPr>
      <w:tblPr/>
      <w:tcPr>
        <w:shd w:val="clear" w:color="FFFFFF" w:fill="D99694" w:themeFill="accent2" w:themeFillTint="97"/>
      </w:tcPr>
    </w:tblStylePr>
    <w:tblStylePr w:type="lastRow">
      <w:rPr>
        <w:color w:val="F2F2F2"/>
        <w:sz w:val="22"/>
      </w:rPr>
      <w:tblPr/>
      <w:tcPr>
        <w:shd w:val="clear" w:color="FFFFFF" w:fill="D99694" w:themeFill="accent2" w:themeFillTint="97"/>
      </w:tcPr>
    </w:tblStylePr>
  </w:style>
  <w:style w:type="table" w:styleId="998">
    <w:name w:val="Bordered &amp; Lined - Accent 3"/>
    <w:basedOn w:val="1009"/>
    <w:uiPriority w:val="99"/>
    <w:pPr>
      <w:spacing w:after="0" w:line="240" w:lineRule="auto"/>
    </w:pPr>
    <w:rPr>
      <w:color w:val="404040"/>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AF0DD" w:themeFill="accent3" w:themeFillTint="34"/>
      </w:tcPr>
    </w:tblStylePr>
    <w:tblStylePr w:type="band2Vert">
      <w:rPr>
        <w:color w:val="404040"/>
        <w:sz w:val="22"/>
      </w:rPr>
      <w:tblPr/>
      <w:tcPr>
        <w:shd w:val="clear" w:color="FFFFFF" w:fill="EAF0DD" w:themeFill="accent3" w:themeFillTint="34"/>
      </w:tcPr>
    </w:tblStylePr>
    <w:tblStylePr w:type="firstCol">
      <w:rPr>
        <w:color w:val="F2F2F2"/>
        <w:sz w:val="22"/>
      </w:rPr>
      <w:tblPr/>
      <w:tcPr>
        <w:shd w:val="clear" w:color="FFFFFF" w:fill="9BBA59" w:themeFill="accent3" w:themeFillTint="fe"/>
      </w:tcPr>
    </w:tblStylePr>
    <w:tblStylePr w:type="firstRow">
      <w:rPr>
        <w:color w:val="F2F2F2"/>
        <w:sz w:val="22"/>
      </w:rPr>
      <w:tblPr/>
      <w:tcPr>
        <w:shd w:val="clear" w:color="FFFFFF" w:fill="9BBA59" w:themeFill="accent3" w:themeFillTint="fe"/>
      </w:tcPr>
    </w:tblStylePr>
    <w:tblStylePr w:type="lastCol">
      <w:rPr>
        <w:color w:val="F2F2F2"/>
        <w:sz w:val="22"/>
      </w:rPr>
      <w:tblPr/>
      <w:tcPr>
        <w:shd w:val="clear" w:color="FFFFFF" w:fill="9BBA59" w:themeFill="accent3" w:themeFillTint="fe"/>
      </w:tcPr>
    </w:tblStylePr>
    <w:tblStylePr w:type="lastRow">
      <w:rPr>
        <w:color w:val="F2F2F2"/>
        <w:sz w:val="22"/>
      </w:rPr>
      <w:tblPr/>
      <w:tcPr>
        <w:shd w:val="clear" w:color="FFFFFF" w:fill="9BBA59" w:themeFill="accent3" w:themeFillTint="fe"/>
      </w:tcPr>
    </w:tblStylePr>
  </w:style>
  <w:style w:type="table" w:styleId="999">
    <w:name w:val="Bordered &amp; Lined - Accent 4"/>
    <w:basedOn w:val="1009"/>
    <w:uiPriority w:val="99"/>
    <w:pPr>
      <w:spacing w:after="0" w:line="240" w:lineRule="auto"/>
    </w:pPr>
    <w:rPr>
      <w:color w:val="404040"/>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5DFEC" w:themeFill="accent4" w:themeFillTint="34"/>
      </w:tcPr>
    </w:tblStylePr>
    <w:tblStylePr w:type="band2Vert">
      <w:rPr>
        <w:color w:val="404040"/>
        <w:sz w:val="22"/>
      </w:rPr>
      <w:tblPr/>
      <w:tcPr>
        <w:shd w:val="clear" w:color="FFFFFF" w:fill="E5DFEC" w:themeFill="accent4" w:themeFillTint="34"/>
      </w:tcPr>
    </w:tblStylePr>
    <w:tblStylePr w:type="firstCol">
      <w:rPr>
        <w:color w:val="F2F2F2"/>
        <w:sz w:val="22"/>
      </w:rPr>
      <w:tblPr/>
      <w:tcPr>
        <w:shd w:val="clear" w:color="FFFFFF" w:fill="B2A1C6" w:themeFill="accent4" w:themeFillTint="9a"/>
      </w:tcPr>
    </w:tblStylePr>
    <w:tblStylePr w:type="firstRow">
      <w:rPr>
        <w:color w:val="F2F2F2"/>
        <w:sz w:val="22"/>
      </w:rPr>
      <w:tblPr/>
      <w:tcPr>
        <w:shd w:val="clear" w:color="FFFFFF" w:fill="B2A1C6" w:themeFill="accent4" w:themeFillTint="9a"/>
      </w:tcPr>
    </w:tblStylePr>
    <w:tblStylePr w:type="lastCol">
      <w:rPr>
        <w:color w:val="F2F2F2"/>
        <w:sz w:val="22"/>
      </w:rPr>
      <w:tblPr/>
      <w:tcPr>
        <w:shd w:val="clear" w:color="FFFFFF" w:fill="B2A1C6" w:themeFill="accent4" w:themeFillTint="9a"/>
      </w:tcPr>
    </w:tblStylePr>
    <w:tblStylePr w:type="lastRow">
      <w:rPr>
        <w:color w:val="F2F2F2"/>
        <w:sz w:val="22"/>
      </w:rPr>
      <w:tblPr/>
      <w:tcPr>
        <w:shd w:val="clear" w:color="FFFFFF" w:fill="B2A1C6" w:themeFill="accent4" w:themeFillTint="9a"/>
      </w:tcPr>
    </w:tblStylePr>
  </w:style>
  <w:style w:type="table" w:styleId="1000">
    <w:name w:val="Bordered &amp; Lined - Accent 5"/>
    <w:basedOn w:val="1009"/>
    <w:uiPriority w:val="99"/>
    <w:pPr>
      <w:spacing w:after="0" w:line="240" w:lineRule="auto"/>
    </w:pPr>
    <w:rPr>
      <w:color w:val="404040"/>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AEEF3" w:themeFill="accent5" w:themeFillTint="34"/>
      </w:tcPr>
    </w:tblStylePr>
    <w:tblStylePr w:type="band2Vert">
      <w:rPr>
        <w:color w:val="404040"/>
        <w:sz w:val="22"/>
      </w:rPr>
      <w:tblPr/>
      <w:tcPr>
        <w:shd w:val="clear" w:color="FFFFFF" w:fill="DAEEF3" w:themeFill="accent5" w:themeFillTint="34"/>
      </w:tcPr>
    </w:tblStylePr>
    <w:tblStylePr w:type="firstCol">
      <w:rPr>
        <w:color w:val="F2F2F2"/>
        <w:sz w:val="22"/>
      </w:rPr>
      <w:tblPr/>
      <w:tcPr>
        <w:shd w:val="clear" w:color="FFFFFF" w:fill="4BACC6" w:themeFill="accent5"/>
      </w:tcPr>
    </w:tblStylePr>
    <w:tblStylePr w:type="firstRow">
      <w:rPr>
        <w:color w:val="F2F2F2"/>
        <w:sz w:val="22"/>
      </w:rPr>
      <w:tblPr/>
      <w:tcPr>
        <w:shd w:val="clear" w:color="FFFFFF" w:fill="4BACC6" w:themeFill="accent5"/>
      </w:tcPr>
    </w:tblStylePr>
    <w:tblStylePr w:type="lastCol">
      <w:rPr>
        <w:color w:val="F2F2F2"/>
        <w:sz w:val="22"/>
      </w:rPr>
      <w:tblPr/>
      <w:tcPr>
        <w:shd w:val="clear" w:color="FFFFFF" w:fill="4BACC6" w:themeFill="accent5"/>
      </w:tcPr>
    </w:tblStylePr>
    <w:tblStylePr w:type="lastRow">
      <w:rPr>
        <w:color w:val="F2F2F2"/>
        <w:sz w:val="22"/>
      </w:rPr>
      <w:tblPr/>
      <w:tcPr>
        <w:shd w:val="clear" w:color="FFFFFF" w:fill="4BACC6" w:themeFill="accent5"/>
      </w:tcPr>
    </w:tblStylePr>
  </w:style>
  <w:style w:type="table" w:styleId="1001">
    <w:name w:val="Bordered &amp; Lined - Accent 6"/>
    <w:basedOn w:val="1009"/>
    <w:uiPriority w:val="99"/>
    <w:pPr>
      <w:spacing w:after="0" w:line="240" w:lineRule="auto"/>
    </w:pPr>
    <w:rPr>
      <w:color w:val="404040"/>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DE9D8" w:themeFill="accent6" w:themeFillTint="34"/>
      </w:tcPr>
    </w:tblStylePr>
    <w:tblStylePr w:type="band2Vert">
      <w:rPr>
        <w:color w:val="404040"/>
        <w:sz w:val="22"/>
      </w:rPr>
      <w:tblPr/>
      <w:tcPr>
        <w:shd w:val="clear" w:color="FFFFFF" w:fill="FDE9D8" w:themeFill="accent6" w:themeFillTint="34"/>
      </w:tcPr>
    </w:tblStylePr>
    <w:tblStylePr w:type="firstCol">
      <w:rPr>
        <w:color w:val="F2F2F2"/>
        <w:sz w:val="22"/>
      </w:rPr>
      <w:tblPr/>
      <w:tcPr>
        <w:shd w:val="clear" w:color="FFFFFF" w:fill="F79646" w:themeFill="accent6"/>
      </w:tcPr>
    </w:tblStylePr>
    <w:tblStylePr w:type="firstRow">
      <w:rPr>
        <w:color w:val="F2F2F2"/>
        <w:sz w:val="22"/>
      </w:rPr>
      <w:tblPr/>
      <w:tcPr>
        <w:shd w:val="clear" w:color="FFFFFF" w:fill="F79646" w:themeFill="accent6"/>
      </w:tcPr>
    </w:tblStylePr>
    <w:tblStylePr w:type="lastCol">
      <w:rPr>
        <w:color w:val="F2F2F2"/>
        <w:sz w:val="22"/>
      </w:rPr>
      <w:tblPr/>
      <w:tcPr>
        <w:shd w:val="clear" w:color="FFFFFF" w:fill="F79646" w:themeFill="accent6"/>
      </w:tcPr>
    </w:tblStylePr>
    <w:tblStylePr w:type="lastRow">
      <w:rPr>
        <w:color w:val="F2F2F2"/>
        <w:sz w:val="22"/>
      </w:rPr>
      <w:tblPr/>
      <w:tcPr>
        <w:shd w:val="clear" w:color="FFFFFF" w:fill="F79646" w:themeFill="accent6"/>
      </w:tcPr>
    </w:tblStylePr>
  </w:style>
  <w:style w:type="table" w:styleId="1002">
    <w:name w:val="Bordered"/>
    <w:basedOn w:val="1009"/>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Pr/>
    </w:tblStylePr>
    <w:tblStylePr w:type="firstRow">
      <w:rPr>
        <w:color w:val="404040"/>
        <w:sz w:val="22"/>
      </w:rPr>
      <w:tblPr/>
      <w:tcPr>
        <w:tcBorders>
          <w:bottom w:val="single" w:color="000000" w:themeColor="text1" w:sz="12" w:space="0"/>
        </w:tcBorders>
      </w:tcPr>
    </w:tblStylePr>
    <w:tblStylePr w:type="lastCol">
      <w:rPr>
        <w:color w:val="404040"/>
        <w:sz w:val="22"/>
      </w:rPr>
      <w:tblPr/>
      <w:tcPr>
        <w:tcBorders>
          <w:left w:val="single" w:color="000000" w:themeColor="text1" w:sz="12" w:space="0"/>
        </w:tcBorders>
      </w:tcPr>
    </w:tblStylePr>
    <w:tblStylePr w:type="lastRow">
      <w:rPr>
        <w:color w:val="404040"/>
        <w:sz w:val="22"/>
      </w:rPr>
      <w:tblPr/>
      <w:tcPr>
        <w:tcBorders>
          <w:top w:val="single" w:color="000000" w:themeColor="text1" w:sz="12" w:space="0"/>
        </w:tcBorders>
      </w:tcPr>
    </w:tblStylePr>
  </w:style>
  <w:style w:type="table" w:styleId="1003">
    <w:name w:val="Bordered - Accent 1"/>
    <w:basedOn w:val="1009"/>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Pr/>
    </w:tblStylePr>
    <w:tblStylePr w:type="firstRow">
      <w:rPr>
        <w:color w:val="404040"/>
        <w:sz w:val="22"/>
      </w:rPr>
      <w:tblPr/>
      <w:tcPr>
        <w:tcBorders>
          <w:bottom w:val="single" w:color="000000" w:themeColor="accent1" w:sz="12" w:space="0"/>
        </w:tcBorders>
      </w:tcPr>
    </w:tblStylePr>
    <w:tblStylePr w:type="lastCol">
      <w:rPr>
        <w:color w:val="404040"/>
        <w:sz w:val="22"/>
      </w:rPr>
      <w:tblPr/>
      <w:tcPr>
        <w:tcBorders>
          <w:left w:val="single" w:color="000000" w:themeColor="accent1" w:sz="12" w:space="0"/>
        </w:tcBorders>
      </w:tcPr>
    </w:tblStylePr>
    <w:tblStylePr w:type="lastRow">
      <w:rPr>
        <w:color w:val="404040"/>
        <w:sz w:val="22"/>
      </w:rPr>
      <w:tblPr/>
      <w:tcPr>
        <w:tcBorders>
          <w:top w:val="single" w:color="000000" w:themeColor="accent1" w:sz="12" w:space="0"/>
        </w:tcBorders>
      </w:tcPr>
    </w:tblStylePr>
  </w:style>
  <w:style w:type="table" w:styleId="1004">
    <w:name w:val="Bordered - Accent 2"/>
    <w:basedOn w:val="1009"/>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Pr/>
    </w:tblStylePr>
    <w:tblStylePr w:type="firstRow">
      <w:rPr>
        <w:color w:val="404040"/>
        <w:sz w:val="22"/>
      </w:rPr>
      <w:tblPr/>
      <w:tcPr>
        <w:tcBorders>
          <w:bottom w:val="single" w:color="000000" w:themeColor="accent2" w:sz="12" w:space="0"/>
        </w:tcBorders>
      </w:tcPr>
    </w:tblStylePr>
    <w:tblStylePr w:type="lastCol">
      <w:rPr>
        <w:color w:val="404040"/>
        <w:sz w:val="22"/>
      </w:rPr>
      <w:tblPr/>
      <w:tcPr>
        <w:tcBorders>
          <w:left w:val="single" w:color="000000" w:themeColor="accent2" w:sz="12" w:space="0"/>
        </w:tcBorders>
      </w:tcPr>
    </w:tblStylePr>
    <w:tblStylePr w:type="lastRow">
      <w:rPr>
        <w:color w:val="404040"/>
        <w:sz w:val="22"/>
      </w:rPr>
      <w:tblPr/>
      <w:tcPr>
        <w:tcBorders>
          <w:top w:val="single" w:color="000000" w:themeColor="accent2" w:sz="12" w:space="0"/>
        </w:tcBorders>
      </w:tcPr>
    </w:tblStylePr>
  </w:style>
  <w:style w:type="table" w:styleId="1005">
    <w:name w:val="Bordered - Accent 3"/>
    <w:basedOn w:val="1009"/>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Pr/>
    </w:tblStylePr>
    <w:tblStylePr w:type="firstRow">
      <w:rPr>
        <w:color w:val="404040"/>
        <w:sz w:val="22"/>
      </w:rPr>
      <w:tblPr/>
      <w:tcPr>
        <w:tcBorders>
          <w:bottom w:val="single" w:color="000000" w:themeColor="accent3" w:sz="12" w:space="0"/>
        </w:tcBorders>
      </w:tcPr>
    </w:tblStylePr>
    <w:tblStylePr w:type="lastCol">
      <w:rPr>
        <w:color w:val="404040"/>
        <w:sz w:val="22"/>
      </w:rPr>
      <w:tblPr/>
      <w:tcPr>
        <w:tcBorders>
          <w:left w:val="single" w:color="000000" w:themeColor="accent3" w:sz="12" w:space="0"/>
        </w:tcBorders>
      </w:tcPr>
    </w:tblStylePr>
    <w:tblStylePr w:type="lastRow">
      <w:rPr>
        <w:color w:val="404040"/>
        <w:sz w:val="22"/>
      </w:rPr>
      <w:tblPr/>
      <w:tcPr>
        <w:tcBorders>
          <w:top w:val="single" w:color="000000" w:themeColor="accent3" w:sz="12" w:space="0"/>
        </w:tcBorders>
      </w:tcPr>
    </w:tblStylePr>
  </w:style>
  <w:style w:type="table" w:styleId="1006">
    <w:name w:val="Bordered - Accent 4"/>
    <w:basedOn w:val="1009"/>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Pr/>
    </w:tblStylePr>
    <w:tblStylePr w:type="firstRow">
      <w:rPr>
        <w:color w:val="404040"/>
        <w:sz w:val="22"/>
      </w:rPr>
      <w:tblPr/>
      <w:tcPr>
        <w:tcBorders>
          <w:bottom w:val="single" w:color="000000" w:themeColor="accent4" w:sz="12" w:space="0"/>
        </w:tcBorders>
      </w:tcPr>
    </w:tblStylePr>
    <w:tblStylePr w:type="lastCol">
      <w:rPr>
        <w:color w:val="404040"/>
        <w:sz w:val="22"/>
      </w:rPr>
      <w:tblPr/>
      <w:tcPr>
        <w:tcBorders>
          <w:left w:val="single" w:color="000000" w:themeColor="accent4" w:sz="12" w:space="0"/>
        </w:tcBorders>
      </w:tcPr>
    </w:tblStylePr>
    <w:tblStylePr w:type="lastRow">
      <w:rPr>
        <w:color w:val="404040"/>
        <w:sz w:val="22"/>
      </w:rPr>
      <w:tblPr/>
      <w:tcPr>
        <w:tcBorders>
          <w:top w:val="single" w:color="000000" w:themeColor="accent4" w:sz="12" w:space="0"/>
        </w:tcBorders>
      </w:tcPr>
    </w:tblStylePr>
  </w:style>
  <w:style w:type="table" w:styleId="1007">
    <w:name w:val="Bordered - Accent 5"/>
    <w:basedOn w:val="1009"/>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Pr/>
    </w:tblStylePr>
    <w:tblStylePr w:type="firstRow">
      <w:rPr>
        <w:color w:val="404040"/>
        <w:sz w:val="22"/>
      </w:rPr>
      <w:tblPr/>
      <w:tcPr>
        <w:tcBorders>
          <w:bottom w:val="single" w:color="000000" w:themeColor="accent5" w:sz="12" w:space="0"/>
        </w:tcBorders>
      </w:tcPr>
    </w:tblStylePr>
    <w:tblStylePr w:type="lastCol">
      <w:rPr>
        <w:color w:val="404040"/>
        <w:sz w:val="22"/>
      </w:rPr>
      <w:tblPr/>
      <w:tcPr>
        <w:tcBorders>
          <w:left w:val="single" w:color="000000" w:themeColor="accent5" w:sz="12" w:space="0"/>
        </w:tcBorders>
      </w:tcPr>
    </w:tblStylePr>
    <w:tblStylePr w:type="lastRow">
      <w:rPr>
        <w:color w:val="404040"/>
        <w:sz w:val="22"/>
      </w:rPr>
      <w:tblPr/>
      <w:tcPr>
        <w:tcBorders>
          <w:top w:val="single" w:color="000000" w:themeColor="accent5" w:sz="12" w:space="0"/>
        </w:tcBorders>
      </w:tcPr>
    </w:tblStylePr>
  </w:style>
  <w:style w:type="table" w:styleId="1008">
    <w:name w:val="Bordered - Accent 6"/>
    <w:basedOn w:val="1009"/>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Pr/>
    </w:tblStylePr>
    <w:tblStylePr w:type="firstRow">
      <w:rPr>
        <w:color w:val="404040"/>
        <w:sz w:val="22"/>
      </w:rPr>
      <w:tblPr/>
      <w:tcPr>
        <w:tcBorders>
          <w:bottom w:val="single" w:color="000000" w:themeColor="accent6" w:sz="12" w:space="0"/>
        </w:tcBorders>
      </w:tcPr>
    </w:tblStylePr>
    <w:tblStylePr w:type="lastCol">
      <w:rPr>
        <w:color w:val="404040"/>
        <w:sz w:val="22"/>
      </w:rPr>
      <w:tblPr/>
      <w:tcPr>
        <w:tcBorders>
          <w:left w:val="single" w:color="000000" w:themeColor="accent6" w:sz="12" w:space="0"/>
        </w:tcBorders>
      </w:tcPr>
    </w:tblStylePr>
    <w:tblStylePr w:type="lastRow">
      <w:rPr>
        <w:color w:val="404040"/>
        <w:sz w:val="22"/>
      </w:rPr>
      <w:tblPr/>
      <w:tcPr>
        <w:tcBorders>
          <w:top w:val="single" w:color="000000" w:themeColor="accent6" w:sz="12" w:space="0"/>
        </w:tcBorders>
      </w:tcPr>
    </w:tblStylePr>
  </w:style>
  <w:style w:type="table" w:default="1" w:styleId="1009">
    <w:name w:val="Normal Table"/>
    <w:uiPriority w:val="99"/>
    <w:semiHidden/>
    <w:unhideWhenUsed/>
    <w:tblPr>
      <w:tblCellMar>
        <w:left w:w="108" w:type="dxa"/>
        <w:top w:w="0" w:type="dxa"/>
        <w:right w:w="108" w:type="dxa"/>
        <w:bottom w:w="0" w:type="dxa"/>
      </w:tblCellMar>
    </w:tblPr>
  </w:style>
  <w:style w:type="table" w:styleId="1010">
    <w:name w:val="Table Grid"/>
    <w:basedOn w:val="1009"/>
    <w:tblPr>
      <w:tblStyleRowBandSize w:val="1"/>
      <w:tblBorders>
        <w:top w:val="single" w:color="000000" w:sz="4" w:space="0"/>
        <w:bottom w:val="single" w:color="000000" w:sz="4" w:space="0"/>
        <w:insideH w:val="single" w:color="000000" w:sz="4" w:space="0"/>
        <w:insideV w:val="single" w:color="000000" w:sz="4" w:space="0"/>
      </w:tblBorders>
    </w:tblPr>
    <w:tblStylePr w:type="band1Horz">
      <w:pPr>
        <w:jc w:val="left"/>
      </w:pPr>
      <w:tblPr/>
      <w:tcPr>
        <w:tcBorders>
          <w:top w:val="single" w:color="000000" w:sz="2" w:space="0"/>
          <w:left w:val="none" w:color="000000" w:sz="4" w:space="0"/>
          <w:bottom w:val="single" w:color="000000" w:sz="2" w:space="0"/>
          <w:right w:val="none" w:color="000000" w:sz="4" w:space="0"/>
        </w:tcBorders>
        <w:vAlign w:val="center"/>
      </w:tcPr>
    </w:tblStylePr>
    <w:tblStylePr w:type="band2Horz">
      <w:pPr>
        <w:jc w:val="left"/>
      </w:pPr>
      <w:tblPr/>
      <w:tcPr>
        <w:tcBorders>
          <w:top w:val="single" w:color="000000" w:sz="2" w:space="0"/>
          <w:left w:val="none" w:color="000000" w:sz="4" w:space="0"/>
          <w:bottom w:val="single" w:color="000000" w:sz="2" w:space="0"/>
          <w:right w:val="none" w:color="000000" w:sz="4" w:space="0"/>
        </w:tcBorders>
        <w:vAlign w:val="center"/>
      </w:tcPr>
    </w:tblStylePr>
    <w:tblStylePr w:type="firstRow">
      <w:pPr>
        <w:jc w:val="center"/>
      </w:pPr>
      <w:tblPr/>
      <w:trPr>
        <w:tblHeader/>
      </w:trPr>
      <w:tcPr>
        <w:tcBorders>
          <w:top w:val="single" w:color="000000" w:sz="12" w:space="0"/>
          <w:left w:val="none" w:color="000000" w:sz="4" w:space="0"/>
          <w:bottom w:val="single" w:color="000000" w:sz="12" w:space="0"/>
          <w:right w:val="none" w:color="000000" w:sz="4" w:space="0"/>
        </w:tcBorders>
        <w:vAlign w:val="cente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gisp.gov.ru/pp719v2/pub/prod/" TargetMode="External"/><Relationship Id="rId3" Type="http://schemas.openxmlformats.org/officeDocument/2006/relationships/hyperlink" Target="https://gisp.gov.ru/pp719v2/pub/org/"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219C23-A8CF-4692-82AF-40937AA6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Application>AlterOffice/2025.3.1.0$Linux_X86_64 LibreOffice_project/431cd1b79110582f53535c95ed0a2449aadc8bf9</Application>
  <AppVersion>15.0000</AppVersion>
  <Pages>59</Pages>
  <Words>4438</Words>
  <Characters>30575</Characters>
  <CharactersWithSpaces>34370</CharactersWithSpaces>
  <Paragraphs>1151</Paragraphs>
  <Company>ООО «ИПЦ НГ»</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01-ОЛ1</cp:category>
  <dcterms:created xsi:type="dcterms:W3CDTF">2019-10-28T03:40:00Z</dcterms:created>
  <dc:creator>Зиновьев В.С.</dc:creator>
  <dc:description/>
  <dc:language>ru-RU</dc:language>
  <cp:lastModifiedBy>mehedova_en@DGK.RU</cp:lastModifiedBy>
  <dcterms:modified xsi:type="dcterms:W3CDTF">2026-08-26T09:33:44Z</dcterms:modified>
  <cp:revision>87</cp:revision>
  <dc:subject>Опросный лист</dc:subject>
  <dc:title>8/19-ПД-ОТП-ТТ01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ГИП">
    <vt:lpwstr>И.М. Лавецкий</vt:lpwstr>
  </property>
  <property fmtid="{D5CDD505-2E9C-101B-9397-08002B2CF9AE}" pid="3" name="Гл. спец">
    <vt:lpwstr>Бугрова</vt:lpwstr>
  </property>
  <property fmtid="{D5CDD505-2E9C-101B-9397-08002B2CF9AE}" pid="4" name="Год">
    <vt:lpwstr>2015</vt:lpwstr>
  </property>
  <property fmtid="{D5CDD505-2E9C-101B-9397-08002B2CF9AE}" pid="5" name="Инв.номер">
    <vt:lpwstr> </vt:lpwstr>
  </property>
  <property fmtid="{D5CDD505-2E9C-101B-9397-08002B2CF9AE}" pid="6" name="Комплект">
    <vt:lpwstr>ПЗ</vt:lpwstr>
  </property>
  <property fmtid="{D5CDD505-2E9C-101B-9397-08002B2CF9AE}" pid="7" name="Н контр">
    <vt:lpwstr>Спорова</vt:lpwstr>
  </property>
  <property fmtid="{D5CDD505-2E9C-101B-9397-08002B2CF9AE}" pid="8" name="Нач. отд.">
    <vt:lpwstr>Спорова</vt:lpwstr>
  </property>
  <property fmtid="{D5CDD505-2E9C-101B-9397-08002B2CF9AE}" pid="9" name="Проверил">
    <vt:lpwstr>Бугрова</vt:lpwstr>
  </property>
  <property fmtid="{D5CDD505-2E9C-101B-9397-08002B2CF9AE}" pid="10" name="Разраб">
    <vt:lpwstr>Горбачева</vt:lpwstr>
  </property>
  <property fmtid="{D5CDD505-2E9C-101B-9397-08002B2CF9AE}" pid="11" name="Стадия">
    <vt:lpwstr>П</vt:lpwstr>
  </property>
</Properties>
</file>